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20" w:rsidRPr="00F65499" w:rsidRDefault="00501520" w:rsidP="00F65499">
      <w:pPr>
        <w:rPr>
          <w:rFonts w:ascii="Times New Roman" w:hAnsi="Times New Roman" w:cs="Times New Roman"/>
          <w:b/>
          <w:sz w:val="28"/>
          <w:szCs w:val="28"/>
          <w:u w:val="single"/>
        </w:rPr>
      </w:pPr>
      <w:r w:rsidRPr="000E508A">
        <w:rPr>
          <w:rFonts w:ascii="Times New Roman" w:hAnsi="Times New Roman" w:cs="Times New Roman"/>
          <w:b/>
          <w:sz w:val="28"/>
          <w:szCs w:val="28"/>
        </w:rPr>
        <w:t>City of Central Point</w:t>
      </w:r>
      <w:r w:rsidR="000E508A">
        <w:rPr>
          <w:rFonts w:ascii="Times New Roman" w:hAnsi="Times New Roman" w:cs="Times New Roman"/>
          <w:b/>
          <w:sz w:val="28"/>
          <w:szCs w:val="28"/>
        </w:rPr>
        <w:br/>
      </w:r>
      <w:r w:rsidRPr="00F65499">
        <w:rPr>
          <w:rFonts w:ascii="Times New Roman" w:hAnsi="Times New Roman" w:cs="Times New Roman"/>
          <w:b/>
          <w:sz w:val="28"/>
          <w:szCs w:val="28"/>
        </w:rPr>
        <w:t>Downtown &amp; East Pine Street Corridor Revitalization Plan</w:t>
      </w:r>
      <w:r w:rsidR="00F65499">
        <w:rPr>
          <w:rFonts w:ascii="Times New Roman" w:hAnsi="Times New Roman" w:cs="Times New Roman"/>
          <w:b/>
          <w:sz w:val="28"/>
          <w:szCs w:val="28"/>
        </w:rPr>
        <w:br/>
        <w:t>Annual Fiscal Report for FY2014-15</w:t>
      </w:r>
    </w:p>
    <w:p w:rsidR="00501520" w:rsidRPr="00F65499" w:rsidRDefault="00F65499" w:rsidP="00F65499">
      <w:pPr>
        <w:rPr>
          <w:rFonts w:ascii="Times New Roman" w:hAnsi="Times New Roman" w:cs="Times New Roman"/>
        </w:rPr>
      </w:pPr>
      <w:r w:rsidRPr="00F65499">
        <w:rPr>
          <w:rFonts w:ascii="Times New Roman" w:hAnsi="Times New Roman" w:cs="Times New Roman"/>
        </w:rPr>
        <w:t>May 4, 2015</w:t>
      </w:r>
    </w:p>
    <w:p w:rsidR="0047361A" w:rsidRPr="000C3E08" w:rsidRDefault="0047361A" w:rsidP="0047361A">
      <w:pPr>
        <w:jc w:val="center"/>
        <w:rPr>
          <w:rFonts w:ascii="Times New Roman" w:hAnsi="Times New Roman" w:cs="Times New Roman"/>
          <w:b/>
          <w:sz w:val="24"/>
          <w:szCs w:val="24"/>
        </w:rPr>
      </w:pPr>
    </w:p>
    <w:p w:rsidR="000C4445" w:rsidRPr="000C4445" w:rsidRDefault="000C4445">
      <w:pPr>
        <w:rPr>
          <w:rFonts w:asciiTheme="majorHAnsi" w:hAnsiTheme="majorHAnsi"/>
          <w:b/>
        </w:rPr>
      </w:pPr>
      <w:r w:rsidRPr="000C4445">
        <w:rPr>
          <w:rFonts w:asciiTheme="majorHAnsi" w:hAnsiTheme="majorHAnsi"/>
          <w:b/>
        </w:rPr>
        <w:t>SUMMARY</w:t>
      </w:r>
    </w:p>
    <w:p w:rsidR="000C4445" w:rsidRDefault="00501520">
      <w:pPr>
        <w:rPr>
          <w:rFonts w:asciiTheme="majorHAnsi" w:hAnsiTheme="majorHAnsi"/>
        </w:rPr>
      </w:pPr>
      <w:r w:rsidRPr="00D824AA">
        <w:rPr>
          <w:rFonts w:asciiTheme="majorHAnsi" w:hAnsiTheme="majorHAnsi"/>
        </w:rPr>
        <w:t>This fiscal report</w:t>
      </w:r>
      <w:r w:rsidR="003F28EC" w:rsidRPr="00D824AA">
        <w:rPr>
          <w:rFonts w:asciiTheme="majorHAnsi" w:hAnsiTheme="majorHAnsi"/>
        </w:rPr>
        <w:t xml:space="preserve"> is for FY14-15</w:t>
      </w:r>
      <w:r w:rsidRPr="00D824AA">
        <w:rPr>
          <w:rFonts w:asciiTheme="majorHAnsi" w:hAnsiTheme="majorHAnsi"/>
        </w:rPr>
        <w:t xml:space="preserve"> </w:t>
      </w:r>
      <w:r w:rsidR="003F28EC" w:rsidRPr="00D824AA">
        <w:rPr>
          <w:rFonts w:asciiTheme="majorHAnsi" w:hAnsiTheme="majorHAnsi"/>
        </w:rPr>
        <w:t>and has been prepared</w:t>
      </w:r>
      <w:r w:rsidRPr="00D824AA">
        <w:rPr>
          <w:rFonts w:asciiTheme="majorHAnsi" w:hAnsiTheme="majorHAnsi"/>
        </w:rPr>
        <w:t xml:space="preserve"> </w:t>
      </w:r>
      <w:r w:rsidR="003F28EC" w:rsidRPr="00D824AA">
        <w:rPr>
          <w:rFonts w:asciiTheme="majorHAnsi" w:hAnsiTheme="majorHAnsi"/>
        </w:rPr>
        <w:t>per</w:t>
      </w:r>
      <w:r w:rsidRPr="00D824AA">
        <w:rPr>
          <w:rFonts w:asciiTheme="majorHAnsi" w:hAnsiTheme="majorHAnsi"/>
        </w:rPr>
        <w:t xml:space="preserve"> ORS 457.460</w:t>
      </w:r>
      <w:r w:rsidR="003F28EC" w:rsidRPr="00D824AA">
        <w:rPr>
          <w:rFonts w:asciiTheme="majorHAnsi" w:hAnsiTheme="majorHAnsi"/>
        </w:rPr>
        <w:t>. The purpose of this report is to address</w:t>
      </w:r>
      <w:r w:rsidRPr="00D824AA">
        <w:rPr>
          <w:rFonts w:asciiTheme="majorHAnsi" w:hAnsiTheme="majorHAnsi"/>
        </w:rPr>
        <w:t xml:space="preserve"> the costs and fiscal impacts</w:t>
      </w:r>
      <w:r w:rsidR="003F28EC" w:rsidRPr="00D824AA">
        <w:rPr>
          <w:rFonts w:asciiTheme="majorHAnsi" w:hAnsiTheme="majorHAnsi"/>
        </w:rPr>
        <w:t xml:space="preserve"> on other affected taxing districts</w:t>
      </w:r>
      <w:r w:rsidRPr="00D824AA">
        <w:rPr>
          <w:rFonts w:asciiTheme="majorHAnsi" w:hAnsiTheme="majorHAnsi"/>
        </w:rPr>
        <w:t xml:space="preserve"> of carrying out the </w:t>
      </w:r>
      <w:r w:rsidR="00E349BC">
        <w:rPr>
          <w:rFonts w:asciiTheme="majorHAnsi" w:hAnsiTheme="majorHAnsi"/>
        </w:rPr>
        <w:t xml:space="preserve">City of Central Point </w:t>
      </w:r>
      <w:r w:rsidRPr="00D824AA">
        <w:rPr>
          <w:rFonts w:asciiTheme="majorHAnsi" w:hAnsiTheme="majorHAnsi"/>
        </w:rPr>
        <w:t xml:space="preserve">Downtown &amp; East Pine Street Corridor Revitalization Plan (Urban Renewal Plan). </w:t>
      </w:r>
      <w:r w:rsidR="0059761C">
        <w:rPr>
          <w:rFonts w:asciiTheme="majorHAnsi" w:hAnsiTheme="majorHAnsi"/>
        </w:rPr>
        <w:t xml:space="preserve"> </w:t>
      </w:r>
      <w:r w:rsidR="000C4445">
        <w:rPr>
          <w:rFonts w:asciiTheme="majorHAnsi" w:hAnsiTheme="majorHAnsi"/>
        </w:rPr>
        <w:t>The</w:t>
      </w:r>
      <w:r w:rsidR="00F65499">
        <w:rPr>
          <w:rFonts w:asciiTheme="majorHAnsi" w:hAnsiTheme="majorHAnsi"/>
        </w:rPr>
        <w:t xml:space="preserve"> source of</w:t>
      </w:r>
      <w:r w:rsidR="000C4445">
        <w:rPr>
          <w:rFonts w:asciiTheme="majorHAnsi" w:hAnsiTheme="majorHAnsi"/>
        </w:rPr>
        <w:t xml:space="preserve"> information </w:t>
      </w:r>
      <w:r w:rsidR="00F65499">
        <w:rPr>
          <w:rFonts w:asciiTheme="majorHAnsi" w:hAnsiTheme="majorHAnsi"/>
        </w:rPr>
        <w:t>used</w:t>
      </w:r>
      <w:r w:rsidR="000C4445">
        <w:rPr>
          <w:rFonts w:asciiTheme="majorHAnsi" w:hAnsiTheme="majorHAnsi"/>
        </w:rPr>
        <w:t xml:space="preserve"> in this report </w:t>
      </w:r>
      <w:r w:rsidR="007D2118">
        <w:rPr>
          <w:rFonts w:asciiTheme="majorHAnsi" w:hAnsiTheme="majorHAnsi"/>
        </w:rPr>
        <w:t>is</w:t>
      </w:r>
      <w:r w:rsidR="00F65499">
        <w:rPr>
          <w:rFonts w:asciiTheme="majorHAnsi" w:hAnsiTheme="majorHAnsi"/>
        </w:rPr>
        <w:t xml:space="preserve"> </w:t>
      </w:r>
      <w:r w:rsidR="000C4445">
        <w:rPr>
          <w:rFonts w:asciiTheme="majorHAnsi" w:hAnsiTheme="majorHAnsi"/>
        </w:rPr>
        <w:t>from either the Jackson County Assessor’s Office (</w:t>
      </w:r>
      <w:r w:rsidR="00E349BC">
        <w:rPr>
          <w:rFonts w:asciiTheme="majorHAnsi" w:hAnsiTheme="majorHAnsi"/>
        </w:rPr>
        <w:t>FY13-14</w:t>
      </w:r>
      <w:r w:rsidR="000C4445">
        <w:rPr>
          <w:rFonts w:asciiTheme="majorHAnsi" w:hAnsiTheme="majorHAnsi"/>
        </w:rPr>
        <w:t>), or the Urban Renewal Plan’s budget (</w:t>
      </w:r>
      <w:r w:rsidR="00E349BC">
        <w:rPr>
          <w:rFonts w:asciiTheme="majorHAnsi" w:hAnsiTheme="majorHAnsi"/>
        </w:rPr>
        <w:t>FY14-15</w:t>
      </w:r>
      <w:r w:rsidR="000C4445">
        <w:rPr>
          <w:rFonts w:asciiTheme="majorHAnsi" w:hAnsiTheme="majorHAnsi"/>
        </w:rPr>
        <w:t xml:space="preserve">). </w:t>
      </w:r>
    </w:p>
    <w:p w:rsidR="00C91F65" w:rsidRDefault="00F65499">
      <w:pPr>
        <w:rPr>
          <w:rFonts w:asciiTheme="majorHAnsi" w:hAnsiTheme="majorHAnsi"/>
        </w:rPr>
      </w:pPr>
      <w:r>
        <w:rPr>
          <w:rFonts w:asciiTheme="majorHAnsi" w:hAnsiTheme="majorHAnsi"/>
        </w:rPr>
        <w:t xml:space="preserve">FY2013-14 was the first fiscal year that the Urban Renewal Plan was eligible to collect tax increment revenue.  The amount collected was very small at $6,194. The impact of the Urban Renewal Plan’s tax increment revenue </w:t>
      </w:r>
      <w:r w:rsidR="007D2118">
        <w:rPr>
          <w:rFonts w:asciiTheme="majorHAnsi" w:hAnsiTheme="majorHAnsi"/>
        </w:rPr>
        <w:t>on</w:t>
      </w:r>
      <w:r>
        <w:rPr>
          <w:rFonts w:asciiTheme="majorHAnsi" w:hAnsiTheme="majorHAnsi"/>
        </w:rPr>
        <w:t xml:space="preserve"> the property tax collections of the affected taxing districts was </w:t>
      </w:r>
      <w:r w:rsidR="00702D46">
        <w:rPr>
          <w:rFonts w:asciiTheme="majorHAnsi" w:hAnsiTheme="majorHAnsi"/>
        </w:rPr>
        <w:t xml:space="preserve">very minimal. </w:t>
      </w:r>
      <w:r w:rsidR="000C4445">
        <w:rPr>
          <w:rFonts w:asciiTheme="majorHAnsi" w:hAnsiTheme="majorHAnsi"/>
        </w:rPr>
        <w:t xml:space="preserve">The average fiscal impact was less than one cent per tax dollar received by the affected taxing districts. Overall the fiscal impact ranged between two tenths of one cent per dollar received in property tax revenue to approximately four cents per dollar received in property tax revenue (City of Central Point). </w:t>
      </w:r>
    </w:p>
    <w:p w:rsidR="00D81327" w:rsidRDefault="00D81327">
      <w:pPr>
        <w:rPr>
          <w:rFonts w:asciiTheme="majorHAnsi" w:hAnsiTheme="majorHAnsi"/>
        </w:rPr>
      </w:pPr>
    </w:p>
    <w:p w:rsidR="00D81327" w:rsidRPr="00D81327" w:rsidRDefault="00D81327">
      <w:pPr>
        <w:rPr>
          <w:rFonts w:asciiTheme="majorHAnsi" w:hAnsiTheme="majorHAnsi"/>
          <w:b/>
        </w:rPr>
      </w:pPr>
      <w:r w:rsidRPr="00D81327">
        <w:rPr>
          <w:rFonts w:asciiTheme="majorHAnsi" w:hAnsiTheme="majorHAnsi"/>
          <w:b/>
        </w:rPr>
        <w:t>REPORT REQUIREMENTS</w:t>
      </w:r>
    </w:p>
    <w:p w:rsidR="0059761C" w:rsidRPr="00D824AA" w:rsidRDefault="00501520">
      <w:pPr>
        <w:rPr>
          <w:rFonts w:asciiTheme="majorHAnsi" w:hAnsiTheme="majorHAnsi"/>
        </w:rPr>
      </w:pPr>
      <w:r w:rsidRPr="00D824AA">
        <w:rPr>
          <w:rFonts w:asciiTheme="majorHAnsi" w:hAnsiTheme="majorHAnsi"/>
        </w:rPr>
        <w:t xml:space="preserve">In accordance with ORS 457.460 there are five (5) </w:t>
      </w:r>
      <w:r w:rsidR="00D81327">
        <w:rPr>
          <w:rFonts w:asciiTheme="majorHAnsi" w:hAnsiTheme="majorHAnsi"/>
        </w:rPr>
        <w:t>requirements</w:t>
      </w:r>
      <w:r w:rsidRPr="00D824AA">
        <w:rPr>
          <w:rFonts w:asciiTheme="majorHAnsi" w:hAnsiTheme="majorHAnsi"/>
        </w:rPr>
        <w:t xml:space="preserve"> that the financial report </w:t>
      </w:r>
      <w:r w:rsidR="003F28EC" w:rsidRPr="00D824AA">
        <w:rPr>
          <w:rFonts w:asciiTheme="majorHAnsi" w:hAnsiTheme="majorHAnsi"/>
        </w:rPr>
        <w:t>must</w:t>
      </w:r>
      <w:r w:rsidRPr="00D824AA">
        <w:rPr>
          <w:rFonts w:asciiTheme="majorHAnsi" w:hAnsiTheme="majorHAnsi"/>
        </w:rPr>
        <w:t xml:space="preserve"> address. </w:t>
      </w:r>
    </w:p>
    <w:p w:rsidR="00501520" w:rsidRPr="00D824AA" w:rsidRDefault="00501520" w:rsidP="00501520">
      <w:pPr>
        <w:pStyle w:val="ListParagraph"/>
        <w:numPr>
          <w:ilvl w:val="0"/>
          <w:numId w:val="1"/>
        </w:numPr>
        <w:rPr>
          <w:rFonts w:asciiTheme="majorHAnsi" w:hAnsiTheme="majorHAnsi"/>
          <w:b/>
          <w:i/>
        </w:rPr>
      </w:pPr>
      <w:r w:rsidRPr="00D824AA">
        <w:rPr>
          <w:rFonts w:asciiTheme="majorHAnsi" w:hAnsiTheme="majorHAnsi"/>
          <w:b/>
          <w:i/>
        </w:rPr>
        <w:t>The amount of money received during the preceding fiscal year under ORS 457.420 to 457.460 and from indebtedness incurred under ORS 457.420 to 457.460.</w:t>
      </w:r>
    </w:p>
    <w:p w:rsidR="00501520" w:rsidRDefault="00501520" w:rsidP="00501520">
      <w:pPr>
        <w:pStyle w:val="ListParagraph"/>
      </w:pPr>
    </w:p>
    <w:p w:rsidR="00501520" w:rsidRDefault="002C0269" w:rsidP="00501520">
      <w:pPr>
        <w:pStyle w:val="ListParagraph"/>
        <w:rPr>
          <w:rFonts w:asciiTheme="majorHAnsi" w:hAnsiTheme="majorHAnsi"/>
        </w:rPr>
      </w:pPr>
      <w:r w:rsidRPr="00D824AA">
        <w:rPr>
          <w:rFonts w:asciiTheme="majorHAnsi" w:hAnsiTheme="majorHAnsi"/>
        </w:rPr>
        <w:t xml:space="preserve">Table 1 identifies the amounts and sources of monies received by the </w:t>
      </w:r>
      <w:r w:rsidR="003F28EC" w:rsidRPr="00D824AA">
        <w:rPr>
          <w:rFonts w:asciiTheme="majorHAnsi" w:hAnsiTheme="majorHAnsi"/>
        </w:rPr>
        <w:t xml:space="preserve">Central Point Development </w:t>
      </w:r>
      <w:r w:rsidRPr="00D824AA">
        <w:rPr>
          <w:rFonts w:asciiTheme="majorHAnsi" w:hAnsiTheme="majorHAnsi"/>
        </w:rPr>
        <w:t>Commission</w:t>
      </w:r>
      <w:r w:rsidR="003F28EC" w:rsidRPr="00D824AA">
        <w:rPr>
          <w:rFonts w:asciiTheme="majorHAnsi" w:hAnsiTheme="majorHAnsi"/>
        </w:rPr>
        <w:t xml:space="preserve"> (Commission)</w:t>
      </w:r>
      <w:r w:rsidRPr="00D824AA">
        <w:rPr>
          <w:rFonts w:asciiTheme="majorHAnsi" w:hAnsiTheme="majorHAnsi"/>
        </w:rPr>
        <w:t xml:space="preserve"> during FY</w:t>
      </w:r>
      <w:r w:rsidR="003F28EC" w:rsidRPr="00D824AA">
        <w:rPr>
          <w:rFonts w:asciiTheme="majorHAnsi" w:hAnsiTheme="majorHAnsi"/>
        </w:rPr>
        <w:t>13-</w:t>
      </w:r>
      <w:r w:rsidRPr="00D824AA">
        <w:rPr>
          <w:rFonts w:asciiTheme="majorHAnsi" w:hAnsiTheme="majorHAnsi"/>
        </w:rPr>
        <w:t>14. FY</w:t>
      </w:r>
      <w:r w:rsidR="003F28EC" w:rsidRPr="00D824AA">
        <w:rPr>
          <w:rFonts w:asciiTheme="majorHAnsi" w:hAnsiTheme="majorHAnsi"/>
        </w:rPr>
        <w:t>13-</w:t>
      </w:r>
      <w:r w:rsidR="00F81122" w:rsidRPr="00D824AA">
        <w:rPr>
          <w:rFonts w:asciiTheme="majorHAnsi" w:hAnsiTheme="majorHAnsi"/>
        </w:rPr>
        <w:t>14 was the first year the Commission qualified for and received tax increment revenue</w:t>
      </w:r>
      <w:r w:rsidRPr="00D824AA">
        <w:rPr>
          <w:rFonts w:asciiTheme="majorHAnsi" w:hAnsiTheme="majorHAnsi"/>
        </w:rPr>
        <w:t xml:space="preserve">. Additionally, the Commission </w:t>
      </w:r>
      <w:r w:rsidR="007D2118">
        <w:rPr>
          <w:rFonts w:asciiTheme="majorHAnsi" w:hAnsiTheme="majorHAnsi"/>
        </w:rPr>
        <w:t xml:space="preserve">had a Beginning Fund Balance from the preceding year, which was the </w:t>
      </w:r>
      <w:r w:rsidR="007850A3">
        <w:rPr>
          <w:rFonts w:asciiTheme="majorHAnsi" w:hAnsiTheme="majorHAnsi"/>
        </w:rPr>
        <w:t xml:space="preserve">remaining </w:t>
      </w:r>
      <w:r w:rsidR="007D2118">
        <w:rPr>
          <w:rFonts w:asciiTheme="majorHAnsi" w:hAnsiTheme="majorHAnsi"/>
        </w:rPr>
        <w:t xml:space="preserve">balance of a $125,000 start-up loan from the City in FY12-13. </w:t>
      </w:r>
      <w:r w:rsidR="007850A3">
        <w:rPr>
          <w:rFonts w:asciiTheme="majorHAnsi" w:hAnsiTheme="majorHAnsi"/>
        </w:rPr>
        <w:t xml:space="preserve"> </w:t>
      </w:r>
      <w:r w:rsidR="00E349BC">
        <w:rPr>
          <w:rFonts w:asciiTheme="majorHAnsi" w:hAnsiTheme="majorHAnsi"/>
        </w:rPr>
        <w:t>The</w:t>
      </w:r>
      <w:r w:rsidR="007850A3">
        <w:rPr>
          <w:rFonts w:asciiTheme="majorHAnsi" w:hAnsiTheme="majorHAnsi"/>
        </w:rPr>
        <w:t xml:space="preserve"> Commission also received interest payments, </w:t>
      </w:r>
      <w:r w:rsidRPr="00D824AA">
        <w:rPr>
          <w:rFonts w:asciiTheme="majorHAnsi" w:hAnsiTheme="majorHAnsi"/>
        </w:rPr>
        <w:t>and</w:t>
      </w:r>
      <w:r w:rsidR="00A24726" w:rsidRPr="00D824AA">
        <w:rPr>
          <w:rFonts w:asciiTheme="majorHAnsi" w:hAnsiTheme="majorHAnsi"/>
        </w:rPr>
        <w:t xml:space="preserve"> through its Streetscape Reimbursem</w:t>
      </w:r>
      <w:r w:rsidRPr="00D824AA">
        <w:rPr>
          <w:rFonts w:asciiTheme="majorHAnsi" w:hAnsiTheme="majorHAnsi"/>
        </w:rPr>
        <w:t xml:space="preserve">ent Program, incurred </w:t>
      </w:r>
      <w:r w:rsidR="007850A3">
        <w:rPr>
          <w:rFonts w:asciiTheme="majorHAnsi" w:hAnsiTheme="majorHAnsi"/>
        </w:rPr>
        <w:t>additional</w:t>
      </w:r>
      <w:r w:rsidR="00A24726" w:rsidRPr="00D824AA">
        <w:rPr>
          <w:rFonts w:asciiTheme="majorHAnsi" w:hAnsiTheme="majorHAnsi"/>
        </w:rPr>
        <w:t xml:space="preserve"> indebtedness. </w:t>
      </w:r>
      <w:r w:rsidR="007D2118">
        <w:rPr>
          <w:rFonts w:asciiTheme="majorHAnsi" w:hAnsiTheme="majorHAnsi"/>
        </w:rPr>
        <w:t>The total amount of revenue received by</w:t>
      </w:r>
      <w:r w:rsidR="00E349BC">
        <w:rPr>
          <w:rFonts w:asciiTheme="majorHAnsi" w:hAnsiTheme="majorHAnsi"/>
        </w:rPr>
        <w:t xml:space="preserve"> the Urban Renewal Plan was $162,790</w:t>
      </w:r>
      <w:r w:rsidR="007D2118">
        <w:rPr>
          <w:rFonts w:asciiTheme="majorHAnsi" w:hAnsiTheme="majorHAnsi"/>
        </w:rPr>
        <w:t>.</w:t>
      </w:r>
    </w:p>
    <w:p w:rsidR="007850A3" w:rsidRPr="00D824AA" w:rsidRDefault="007850A3" w:rsidP="00501520">
      <w:pPr>
        <w:pStyle w:val="ListParagraph"/>
        <w:rPr>
          <w:rFonts w:asciiTheme="majorHAnsi" w:hAnsiTheme="majorHAnsi"/>
        </w:rPr>
      </w:pPr>
    </w:p>
    <w:p w:rsidR="00D824AA" w:rsidRPr="007B38D6" w:rsidRDefault="00D824AA" w:rsidP="002C5783">
      <w:pPr>
        <w:pStyle w:val="Caption"/>
        <w:keepNext/>
        <w:ind w:left="720"/>
        <w:rPr>
          <w:rFonts w:asciiTheme="majorHAnsi" w:hAnsiTheme="majorHAnsi"/>
          <w:color w:val="auto"/>
          <w:sz w:val="22"/>
          <w:szCs w:val="22"/>
        </w:rPr>
      </w:pPr>
      <w:r w:rsidRPr="007B38D6">
        <w:rPr>
          <w:rFonts w:asciiTheme="majorHAnsi" w:hAnsiTheme="majorHAnsi"/>
          <w:caps/>
          <w:color w:val="auto"/>
          <w:sz w:val="22"/>
          <w:szCs w:val="22"/>
        </w:rPr>
        <w:t xml:space="preserve">Table </w:t>
      </w:r>
      <w:r w:rsidRPr="007B38D6">
        <w:rPr>
          <w:rFonts w:asciiTheme="majorHAnsi" w:hAnsiTheme="majorHAnsi"/>
          <w:caps/>
          <w:color w:val="auto"/>
          <w:sz w:val="22"/>
          <w:szCs w:val="22"/>
        </w:rPr>
        <w:fldChar w:fldCharType="begin"/>
      </w:r>
      <w:r w:rsidRPr="007B38D6">
        <w:rPr>
          <w:rFonts w:asciiTheme="majorHAnsi" w:hAnsiTheme="majorHAnsi"/>
          <w:caps/>
          <w:color w:val="auto"/>
          <w:sz w:val="22"/>
          <w:szCs w:val="22"/>
        </w:rPr>
        <w:instrText xml:space="preserve"> SEQ Table \* ARABIC </w:instrText>
      </w:r>
      <w:r w:rsidRPr="007B38D6">
        <w:rPr>
          <w:rFonts w:asciiTheme="majorHAnsi" w:hAnsiTheme="majorHAnsi"/>
          <w:caps/>
          <w:color w:val="auto"/>
          <w:sz w:val="22"/>
          <w:szCs w:val="22"/>
        </w:rPr>
        <w:fldChar w:fldCharType="separate"/>
      </w:r>
      <w:r w:rsidR="007770B4">
        <w:rPr>
          <w:rFonts w:asciiTheme="majorHAnsi" w:hAnsiTheme="majorHAnsi"/>
          <w:caps/>
          <w:noProof/>
          <w:color w:val="auto"/>
          <w:sz w:val="22"/>
          <w:szCs w:val="22"/>
        </w:rPr>
        <w:t>1</w:t>
      </w:r>
      <w:r w:rsidRPr="007B38D6">
        <w:rPr>
          <w:rFonts w:asciiTheme="majorHAnsi" w:hAnsiTheme="majorHAnsi"/>
          <w:caps/>
          <w:color w:val="auto"/>
          <w:sz w:val="22"/>
          <w:szCs w:val="22"/>
        </w:rPr>
        <w:fldChar w:fldCharType="end"/>
      </w:r>
      <w:r w:rsidRPr="007B38D6">
        <w:rPr>
          <w:rFonts w:asciiTheme="majorHAnsi" w:hAnsiTheme="majorHAnsi"/>
          <w:caps/>
          <w:color w:val="auto"/>
          <w:sz w:val="22"/>
          <w:szCs w:val="22"/>
        </w:rPr>
        <w:t>.</w:t>
      </w:r>
      <w:r w:rsidRPr="007B38D6">
        <w:rPr>
          <w:rFonts w:asciiTheme="majorHAnsi" w:hAnsiTheme="majorHAnsi"/>
          <w:color w:val="auto"/>
          <w:sz w:val="22"/>
          <w:szCs w:val="22"/>
        </w:rPr>
        <w:t xml:space="preserve"> MONEY RECEIVED, FY13-14</w:t>
      </w:r>
    </w:p>
    <w:tbl>
      <w:tblPr>
        <w:tblW w:w="6225" w:type="dxa"/>
        <w:jc w:val="center"/>
        <w:tblLook w:val="04A0" w:firstRow="1" w:lastRow="0" w:firstColumn="1" w:lastColumn="0" w:noHBand="0" w:noVBand="1"/>
      </w:tblPr>
      <w:tblGrid>
        <w:gridCol w:w="3885"/>
        <w:gridCol w:w="2340"/>
      </w:tblGrid>
      <w:tr w:rsidR="007B38D6" w:rsidRPr="00F31B70" w:rsidTr="007B38D6">
        <w:trPr>
          <w:trHeight w:val="315"/>
          <w:jc w:val="center"/>
        </w:trPr>
        <w:tc>
          <w:tcPr>
            <w:tcW w:w="3885" w:type="dxa"/>
            <w:tcBorders>
              <w:left w:val="nil"/>
              <w:right w:val="nil"/>
            </w:tcBorders>
            <w:shd w:val="clear" w:color="auto" w:fill="auto"/>
            <w:noWrap/>
            <w:vAlign w:val="bottom"/>
          </w:tcPr>
          <w:p w:rsidR="007B38D6" w:rsidRPr="00F31B70" w:rsidRDefault="007B38D6" w:rsidP="002C0269">
            <w:pPr>
              <w:spacing w:after="0" w:line="240" w:lineRule="auto"/>
              <w:rPr>
                <w:rFonts w:ascii="Times New Roman" w:eastAsia="Times New Roman" w:hAnsi="Times New Roman" w:cs="Times New Roman"/>
                <w:b/>
                <w:sz w:val="20"/>
                <w:szCs w:val="20"/>
              </w:rPr>
            </w:pPr>
            <w:r w:rsidRPr="00F31B70">
              <w:rPr>
                <w:rFonts w:ascii="Times New Roman" w:eastAsia="Times New Roman" w:hAnsi="Times New Roman" w:cs="Times New Roman"/>
                <w:b/>
                <w:sz w:val="20"/>
                <w:szCs w:val="20"/>
              </w:rPr>
              <w:t>Source Description</w:t>
            </w:r>
          </w:p>
        </w:tc>
        <w:tc>
          <w:tcPr>
            <w:tcW w:w="2340" w:type="dxa"/>
            <w:tcBorders>
              <w:left w:val="nil"/>
              <w:right w:val="nil"/>
            </w:tcBorders>
            <w:shd w:val="clear" w:color="auto" w:fill="auto"/>
            <w:noWrap/>
            <w:vAlign w:val="bottom"/>
          </w:tcPr>
          <w:p w:rsidR="007B38D6" w:rsidRPr="00F31B70" w:rsidRDefault="007B38D6" w:rsidP="007B38D6">
            <w:pPr>
              <w:spacing w:after="0" w:line="240" w:lineRule="auto"/>
              <w:jc w:val="center"/>
              <w:rPr>
                <w:rFonts w:ascii="Times New Roman" w:eastAsia="Times New Roman" w:hAnsi="Times New Roman" w:cs="Times New Roman"/>
                <w:b/>
                <w:sz w:val="20"/>
                <w:szCs w:val="20"/>
              </w:rPr>
            </w:pPr>
            <w:r w:rsidRPr="00F31B70">
              <w:rPr>
                <w:rFonts w:ascii="Times New Roman" w:eastAsia="Times New Roman" w:hAnsi="Times New Roman" w:cs="Times New Roman"/>
                <w:b/>
                <w:sz w:val="20"/>
                <w:szCs w:val="20"/>
              </w:rPr>
              <w:t>Amount</w:t>
            </w:r>
          </w:p>
        </w:tc>
      </w:tr>
      <w:tr w:rsidR="003C1B81" w:rsidRPr="00F31B70" w:rsidTr="003C1B81">
        <w:trPr>
          <w:trHeight w:val="315"/>
          <w:jc w:val="center"/>
        </w:trPr>
        <w:tc>
          <w:tcPr>
            <w:tcW w:w="3885" w:type="dxa"/>
            <w:tcBorders>
              <w:top w:val="single" w:sz="4" w:space="0" w:color="auto"/>
              <w:left w:val="nil"/>
              <w:right w:val="nil"/>
            </w:tcBorders>
            <w:shd w:val="clear" w:color="auto" w:fill="auto"/>
            <w:noWrap/>
            <w:vAlign w:val="bottom"/>
          </w:tcPr>
          <w:p w:rsidR="003C1B81" w:rsidRPr="00F31B70" w:rsidRDefault="00D824AA" w:rsidP="002C0269">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B</w:t>
            </w:r>
            <w:r w:rsidR="003C1B81" w:rsidRPr="00F31B70">
              <w:rPr>
                <w:rFonts w:ascii="Times New Roman" w:eastAsia="Times New Roman" w:hAnsi="Times New Roman" w:cs="Times New Roman"/>
                <w:sz w:val="20"/>
                <w:szCs w:val="20"/>
              </w:rPr>
              <w:t>eginning Fund Balance</w:t>
            </w:r>
          </w:p>
        </w:tc>
        <w:tc>
          <w:tcPr>
            <w:tcW w:w="2340" w:type="dxa"/>
            <w:tcBorders>
              <w:top w:val="single" w:sz="4" w:space="0" w:color="auto"/>
              <w:left w:val="nil"/>
              <w:right w:val="nil"/>
            </w:tcBorders>
            <w:shd w:val="clear" w:color="auto" w:fill="auto"/>
            <w:noWrap/>
            <w:vAlign w:val="bottom"/>
          </w:tcPr>
          <w:p w:rsidR="003C1B81" w:rsidRPr="00F31B70" w:rsidRDefault="003F28EC" w:rsidP="0059761C">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w:t>
            </w:r>
            <w:r w:rsidR="00F31B70">
              <w:rPr>
                <w:rFonts w:ascii="Times New Roman" w:eastAsia="Times New Roman" w:hAnsi="Times New Roman" w:cs="Times New Roman"/>
                <w:sz w:val="20"/>
                <w:szCs w:val="20"/>
              </w:rPr>
              <w:t xml:space="preserve">    </w:t>
            </w:r>
            <w:r w:rsidRPr="00F31B70">
              <w:rPr>
                <w:rFonts w:ascii="Times New Roman" w:eastAsia="Times New Roman" w:hAnsi="Times New Roman" w:cs="Times New Roman"/>
                <w:sz w:val="20"/>
                <w:szCs w:val="20"/>
              </w:rPr>
              <w:t xml:space="preserve"> $           </w:t>
            </w:r>
            <w:r w:rsidR="007850A3" w:rsidRPr="00F31B70">
              <w:rPr>
                <w:rFonts w:ascii="Times New Roman" w:eastAsia="Times New Roman" w:hAnsi="Times New Roman" w:cs="Times New Roman"/>
                <w:sz w:val="20"/>
                <w:szCs w:val="20"/>
              </w:rPr>
              <w:t>124,242</w:t>
            </w:r>
          </w:p>
        </w:tc>
      </w:tr>
      <w:tr w:rsidR="002C0269" w:rsidRPr="00F31B70" w:rsidTr="003C1B81">
        <w:trPr>
          <w:trHeight w:val="315"/>
          <w:jc w:val="center"/>
        </w:trPr>
        <w:tc>
          <w:tcPr>
            <w:tcW w:w="3885" w:type="dxa"/>
            <w:tcBorders>
              <w:left w:val="nil"/>
              <w:bottom w:val="nil"/>
              <w:right w:val="nil"/>
            </w:tcBorders>
            <w:shd w:val="clear" w:color="auto" w:fill="auto"/>
            <w:noWrap/>
            <w:vAlign w:val="bottom"/>
            <w:hideMark/>
          </w:tcPr>
          <w:p w:rsidR="002C0269" w:rsidRPr="00F31B70" w:rsidRDefault="002C0269" w:rsidP="002C0269">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Amount Received TIR</w:t>
            </w:r>
          </w:p>
        </w:tc>
        <w:tc>
          <w:tcPr>
            <w:tcW w:w="2340" w:type="dxa"/>
            <w:tcBorders>
              <w:left w:val="nil"/>
              <w:bottom w:val="nil"/>
              <w:right w:val="nil"/>
            </w:tcBorders>
            <w:shd w:val="clear" w:color="auto" w:fill="auto"/>
            <w:noWrap/>
            <w:vAlign w:val="bottom"/>
            <w:hideMark/>
          </w:tcPr>
          <w:p w:rsidR="002C0269" w:rsidRPr="00F31B70" w:rsidRDefault="002C0269" w:rsidP="002C0269">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6,194 </w:t>
            </w:r>
          </w:p>
        </w:tc>
      </w:tr>
      <w:tr w:rsidR="002C0269" w:rsidRPr="00F31B70" w:rsidTr="002C0269">
        <w:trPr>
          <w:trHeight w:val="315"/>
          <w:jc w:val="center"/>
        </w:trPr>
        <w:tc>
          <w:tcPr>
            <w:tcW w:w="3885" w:type="dxa"/>
            <w:tcBorders>
              <w:top w:val="nil"/>
              <w:left w:val="nil"/>
              <w:bottom w:val="nil"/>
              <w:right w:val="nil"/>
            </w:tcBorders>
            <w:shd w:val="clear" w:color="auto" w:fill="auto"/>
            <w:noWrap/>
            <w:vAlign w:val="bottom"/>
            <w:hideMark/>
          </w:tcPr>
          <w:p w:rsidR="002C0269" w:rsidRPr="00F31B70" w:rsidRDefault="002C0269" w:rsidP="002C0269">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Amount Received Interest</w:t>
            </w:r>
          </w:p>
        </w:tc>
        <w:tc>
          <w:tcPr>
            <w:tcW w:w="2340" w:type="dxa"/>
            <w:tcBorders>
              <w:top w:val="nil"/>
              <w:left w:val="nil"/>
              <w:bottom w:val="nil"/>
              <w:right w:val="nil"/>
            </w:tcBorders>
            <w:shd w:val="clear" w:color="auto" w:fill="auto"/>
            <w:noWrap/>
            <w:vAlign w:val="bottom"/>
            <w:hideMark/>
          </w:tcPr>
          <w:p w:rsidR="002C0269" w:rsidRPr="00F31B70" w:rsidRDefault="002C0269" w:rsidP="002C0269">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296 </w:t>
            </w:r>
          </w:p>
        </w:tc>
      </w:tr>
      <w:tr w:rsidR="002C0269" w:rsidRPr="00F31B70" w:rsidTr="002C0269">
        <w:trPr>
          <w:trHeight w:val="315"/>
          <w:jc w:val="center"/>
        </w:trPr>
        <w:tc>
          <w:tcPr>
            <w:tcW w:w="3885" w:type="dxa"/>
            <w:tcBorders>
              <w:top w:val="nil"/>
              <w:left w:val="nil"/>
              <w:bottom w:val="nil"/>
              <w:right w:val="nil"/>
            </w:tcBorders>
            <w:shd w:val="clear" w:color="auto" w:fill="auto"/>
            <w:noWrap/>
            <w:vAlign w:val="bottom"/>
            <w:hideMark/>
          </w:tcPr>
          <w:p w:rsidR="002C0269" w:rsidRPr="00F31B70" w:rsidRDefault="002C0269" w:rsidP="002C0269">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Amount Received Indebtedness</w:t>
            </w:r>
          </w:p>
        </w:tc>
        <w:tc>
          <w:tcPr>
            <w:tcW w:w="2340" w:type="dxa"/>
            <w:tcBorders>
              <w:top w:val="nil"/>
              <w:left w:val="nil"/>
              <w:bottom w:val="nil"/>
              <w:right w:val="nil"/>
            </w:tcBorders>
            <w:shd w:val="clear" w:color="auto" w:fill="auto"/>
            <w:noWrap/>
            <w:vAlign w:val="bottom"/>
            <w:hideMark/>
          </w:tcPr>
          <w:p w:rsidR="002C0269" w:rsidRPr="00F31B70" w:rsidRDefault="007B38D6" w:rsidP="00F31B70">
            <w:pPr>
              <w:spacing w:after="0" w:line="240" w:lineRule="auto"/>
              <w:jc w:val="center"/>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w:t>
            </w:r>
            <w:r w:rsidR="00F31B70">
              <w:rPr>
                <w:rFonts w:ascii="Times New Roman" w:eastAsia="Times New Roman" w:hAnsi="Times New Roman" w:cs="Times New Roman"/>
                <w:sz w:val="20"/>
                <w:szCs w:val="20"/>
              </w:rPr>
              <w:t xml:space="preserve">    </w:t>
            </w:r>
            <w:r w:rsidRPr="00F31B70">
              <w:rPr>
                <w:rFonts w:ascii="Times New Roman" w:eastAsia="Times New Roman" w:hAnsi="Times New Roman" w:cs="Times New Roman"/>
                <w:sz w:val="20"/>
                <w:szCs w:val="20"/>
              </w:rPr>
              <w:t xml:space="preserve">    $   </w:t>
            </w:r>
            <w:r w:rsidR="002C0269" w:rsidRPr="00F31B70">
              <w:rPr>
                <w:rFonts w:ascii="Times New Roman" w:eastAsia="Times New Roman" w:hAnsi="Times New Roman" w:cs="Times New Roman"/>
                <w:sz w:val="20"/>
                <w:szCs w:val="20"/>
              </w:rPr>
              <w:t xml:space="preserve">  </w:t>
            </w:r>
            <w:r w:rsidR="00F31B70">
              <w:rPr>
                <w:rFonts w:ascii="Times New Roman" w:eastAsia="Times New Roman" w:hAnsi="Times New Roman" w:cs="Times New Roman"/>
                <w:sz w:val="20"/>
                <w:szCs w:val="20"/>
              </w:rPr>
              <w:t xml:space="preserve"> </w:t>
            </w:r>
            <w:r w:rsidRPr="00F31B70">
              <w:rPr>
                <w:rFonts w:ascii="Times New Roman" w:eastAsia="Times New Roman" w:hAnsi="Times New Roman" w:cs="Times New Roman"/>
                <w:sz w:val="20"/>
                <w:szCs w:val="20"/>
              </w:rPr>
              <w:t xml:space="preserve"> </w:t>
            </w:r>
            <w:r w:rsidR="002C0269" w:rsidRPr="00F31B70">
              <w:rPr>
                <w:rFonts w:ascii="Times New Roman" w:eastAsia="Times New Roman" w:hAnsi="Times New Roman" w:cs="Times New Roman"/>
                <w:sz w:val="20"/>
                <w:szCs w:val="20"/>
              </w:rPr>
              <w:t xml:space="preserve">  </w:t>
            </w:r>
            <w:r w:rsidRPr="00F31B70">
              <w:rPr>
                <w:rFonts w:ascii="Times New Roman" w:eastAsia="Times New Roman" w:hAnsi="Times New Roman" w:cs="Times New Roman"/>
                <w:sz w:val="20"/>
                <w:szCs w:val="20"/>
              </w:rPr>
              <w:t xml:space="preserve"> </w:t>
            </w:r>
            <w:r w:rsidR="007850A3" w:rsidRPr="00F31B70">
              <w:rPr>
                <w:rFonts w:ascii="Times New Roman" w:eastAsia="Times New Roman" w:hAnsi="Times New Roman" w:cs="Times New Roman"/>
                <w:sz w:val="20"/>
                <w:szCs w:val="20"/>
              </w:rPr>
              <w:t xml:space="preserve">  32</w:t>
            </w:r>
            <w:r w:rsidR="002C0269" w:rsidRPr="00F31B70">
              <w:rPr>
                <w:rFonts w:ascii="Times New Roman" w:eastAsia="Times New Roman" w:hAnsi="Times New Roman" w:cs="Times New Roman"/>
                <w:sz w:val="20"/>
                <w:szCs w:val="20"/>
              </w:rPr>
              <w:t xml:space="preserve">,058 </w:t>
            </w:r>
          </w:p>
        </w:tc>
      </w:tr>
      <w:tr w:rsidR="002C0269" w:rsidRPr="00F31B70" w:rsidTr="002C0269">
        <w:trPr>
          <w:trHeight w:val="330"/>
          <w:jc w:val="center"/>
        </w:trPr>
        <w:tc>
          <w:tcPr>
            <w:tcW w:w="3885" w:type="dxa"/>
            <w:tcBorders>
              <w:top w:val="single" w:sz="4" w:space="0" w:color="auto"/>
              <w:left w:val="nil"/>
              <w:bottom w:val="double" w:sz="6" w:space="0" w:color="auto"/>
              <w:right w:val="nil"/>
            </w:tcBorders>
            <w:shd w:val="clear" w:color="auto" w:fill="auto"/>
            <w:noWrap/>
            <w:vAlign w:val="bottom"/>
            <w:hideMark/>
          </w:tcPr>
          <w:p w:rsidR="002C0269" w:rsidRPr="00F31B70" w:rsidRDefault="002C0269" w:rsidP="002C0269">
            <w:pPr>
              <w:spacing w:after="0" w:line="240" w:lineRule="auto"/>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Total Amount Received</w:t>
            </w:r>
          </w:p>
        </w:tc>
        <w:tc>
          <w:tcPr>
            <w:tcW w:w="2340" w:type="dxa"/>
            <w:tcBorders>
              <w:top w:val="single" w:sz="4" w:space="0" w:color="auto"/>
              <w:left w:val="nil"/>
              <w:bottom w:val="double" w:sz="6" w:space="0" w:color="auto"/>
              <w:right w:val="nil"/>
            </w:tcBorders>
            <w:shd w:val="clear" w:color="auto" w:fill="auto"/>
            <w:noWrap/>
            <w:vAlign w:val="bottom"/>
            <w:hideMark/>
          </w:tcPr>
          <w:p w:rsidR="002C0269" w:rsidRPr="00F31B70" w:rsidRDefault="007B38D6" w:rsidP="00E349BC">
            <w:pPr>
              <w:spacing w:after="0" w:line="240" w:lineRule="auto"/>
              <w:jc w:val="right"/>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 xml:space="preserve">  </w:t>
            </w:r>
            <w:r w:rsidR="002C0269" w:rsidRPr="00F31B70">
              <w:rPr>
                <w:rFonts w:ascii="Times New Roman" w:eastAsia="Times New Roman" w:hAnsi="Times New Roman" w:cs="Times New Roman"/>
                <w:b/>
                <w:bCs/>
                <w:sz w:val="20"/>
                <w:szCs w:val="20"/>
              </w:rPr>
              <w:t xml:space="preserve"> </w:t>
            </w:r>
            <w:r w:rsidRPr="00F31B70">
              <w:rPr>
                <w:rFonts w:ascii="Times New Roman" w:eastAsia="Times New Roman" w:hAnsi="Times New Roman" w:cs="Times New Roman"/>
                <w:b/>
                <w:bCs/>
                <w:sz w:val="20"/>
                <w:szCs w:val="20"/>
              </w:rPr>
              <w:t xml:space="preserve">     </w:t>
            </w:r>
            <w:r w:rsidR="002C0269" w:rsidRPr="00F31B70">
              <w:rPr>
                <w:rFonts w:ascii="Times New Roman" w:eastAsia="Times New Roman" w:hAnsi="Times New Roman" w:cs="Times New Roman"/>
                <w:b/>
                <w:bCs/>
                <w:sz w:val="20"/>
                <w:szCs w:val="20"/>
              </w:rPr>
              <w:t xml:space="preserve">$           </w:t>
            </w:r>
            <w:r w:rsidR="00E349BC" w:rsidRPr="00F31B70">
              <w:rPr>
                <w:rFonts w:ascii="Times New Roman" w:eastAsia="Times New Roman" w:hAnsi="Times New Roman" w:cs="Times New Roman"/>
                <w:b/>
                <w:bCs/>
                <w:sz w:val="20"/>
                <w:szCs w:val="20"/>
              </w:rPr>
              <w:t>162,790</w:t>
            </w:r>
            <w:r w:rsidR="002C0269" w:rsidRPr="00F31B70">
              <w:rPr>
                <w:rFonts w:ascii="Times New Roman" w:eastAsia="Times New Roman" w:hAnsi="Times New Roman" w:cs="Times New Roman"/>
                <w:b/>
                <w:bCs/>
                <w:sz w:val="20"/>
                <w:szCs w:val="20"/>
              </w:rPr>
              <w:t xml:space="preserve"> </w:t>
            </w:r>
          </w:p>
        </w:tc>
      </w:tr>
    </w:tbl>
    <w:p w:rsidR="00A24726" w:rsidRDefault="00A24726" w:rsidP="00501520">
      <w:pPr>
        <w:pStyle w:val="ListParagraph"/>
      </w:pPr>
    </w:p>
    <w:p w:rsidR="00A24726" w:rsidRDefault="00501520" w:rsidP="00A24726">
      <w:pPr>
        <w:pStyle w:val="ListParagraph"/>
        <w:numPr>
          <w:ilvl w:val="0"/>
          <w:numId w:val="1"/>
        </w:numPr>
      </w:pPr>
      <w:r w:rsidRPr="00D824AA">
        <w:rPr>
          <w:rFonts w:asciiTheme="majorHAnsi" w:hAnsiTheme="majorHAnsi"/>
          <w:b/>
          <w:i/>
        </w:rPr>
        <w:t>The purpose and amounts for which any money received under ORS 457.420 to 457.460 and from indebtedness incurred under ORS 457.420 to 457.460 were extended d</w:t>
      </w:r>
      <w:r w:rsidR="00A24726" w:rsidRPr="00D824AA">
        <w:rPr>
          <w:rFonts w:asciiTheme="majorHAnsi" w:hAnsiTheme="majorHAnsi"/>
          <w:b/>
          <w:i/>
        </w:rPr>
        <w:t>uring the preceding fiscal year.</w:t>
      </w:r>
      <w:r w:rsidR="00A24726">
        <w:br/>
      </w:r>
      <w:r w:rsidR="00A24726">
        <w:br/>
      </w:r>
      <w:r w:rsidR="00EB7D05" w:rsidRPr="00D824AA">
        <w:rPr>
          <w:rFonts w:asciiTheme="majorHAnsi" w:hAnsiTheme="majorHAnsi"/>
        </w:rPr>
        <w:t>Table 2</w:t>
      </w:r>
      <w:r w:rsidR="00392C4D" w:rsidRPr="00D824AA">
        <w:rPr>
          <w:rFonts w:asciiTheme="majorHAnsi" w:hAnsiTheme="majorHAnsi"/>
        </w:rPr>
        <w:t xml:space="preserve"> identifies the actual expenditures</w:t>
      </w:r>
      <w:r w:rsidR="00EB7D05" w:rsidRPr="00D824AA">
        <w:rPr>
          <w:rFonts w:asciiTheme="majorHAnsi" w:hAnsiTheme="majorHAnsi"/>
        </w:rPr>
        <w:t xml:space="preserve"> and purpose of expenditures</w:t>
      </w:r>
      <w:r w:rsidR="00392C4D" w:rsidRPr="00D824AA">
        <w:rPr>
          <w:rFonts w:asciiTheme="majorHAnsi" w:hAnsiTheme="majorHAnsi"/>
        </w:rPr>
        <w:t xml:space="preserve"> by the Commission for</w:t>
      </w:r>
      <w:r w:rsidR="00A24726" w:rsidRPr="00D824AA">
        <w:rPr>
          <w:rFonts w:asciiTheme="majorHAnsi" w:hAnsiTheme="majorHAnsi"/>
        </w:rPr>
        <w:t xml:space="preserve"> the </w:t>
      </w:r>
      <w:r w:rsidR="00392C4D" w:rsidRPr="00D824AA">
        <w:rPr>
          <w:rFonts w:asciiTheme="majorHAnsi" w:hAnsiTheme="majorHAnsi"/>
        </w:rPr>
        <w:t>preceding fiscal year (FY</w:t>
      </w:r>
      <w:r w:rsidR="0059761C">
        <w:rPr>
          <w:rFonts w:asciiTheme="majorHAnsi" w:hAnsiTheme="majorHAnsi"/>
        </w:rPr>
        <w:t>13-14</w:t>
      </w:r>
      <w:r w:rsidR="00A24726" w:rsidRPr="00D824AA">
        <w:rPr>
          <w:rFonts w:asciiTheme="majorHAnsi" w:hAnsiTheme="majorHAnsi"/>
        </w:rPr>
        <w:t>)</w:t>
      </w:r>
      <w:r w:rsidR="00392C4D" w:rsidRPr="00D824AA">
        <w:rPr>
          <w:rFonts w:asciiTheme="majorHAnsi" w:hAnsiTheme="majorHAnsi"/>
        </w:rPr>
        <w:t>.</w:t>
      </w:r>
      <w:r w:rsidR="00392C4D">
        <w:t xml:space="preserve"> </w:t>
      </w:r>
    </w:p>
    <w:p w:rsidR="007B38D6" w:rsidRPr="007B38D6" w:rsidRDefault="007B38D6" w:rsidP="002C5783">
      <w:pPr>
        <w:pStyle w:val="Caption"/>
        <w:keepNext/>
        <w:spacing w:after="0"/>
        <w:ind w:firstLine="720"/>
        <w:rPr>
          <w:rFonts w:asciiTheme="majorHAnsi" w:hAnsiTheme="majorHAnsi"/>
          <w:caps/>
          <w:color w:val="auto"/>
          <w:sz w:val="22"/>
          <w:szCs w:val="22"/>
        </w:rPr>
      </w:pPr>
      <w:r w:rsidRPr="007B38D6">
        <w:rPr>
          <w:rFonts w:asciiTheme="majorHAnsi" w:hAnsiTheme="majorHAnsi"/>
          <w:caps/>
          <w:color w:val="auto"/>
          <w:sz w:val="22"/>
          <w:szCs w:val="22"/>
        </w:rPr>
        <w:t xml:space="preserve">Table </w:t>
      </w:r>
      <w:r w:rsidRPr="007B38D6">
        <w:rPr>
          <w:rFonts w:asciiTheme="majorHAnsi" w:hAnsiTheme="majorHAnsi"/>
          <w:caps/>
          <w:color w:val="auto"/>
          <w:sz w:val="22"/>
          <w:szCs w:val="22"/>
        </w:rPr>
        <w:fldChar w:fldCharType="begin"/>
      </w:r>
      <w:r w:rsidRPr="007B38D6">
        <w:rPr>
          <w:rFonts w:asciiTheme="majorHAnsi" w:hAnsiTheme="majorHAnsi"/>
          <w:caps/>
          <w:color w:val="auto"/>
          <w:sz w:val="22"/>
          <w:szCs w:val="22"/>
        </w:rPr>
        <w:instrText xml:space="preserve"> SEQ Table \* ARABIC </w:instrText>
      </w:r>
      <w:r w:rsidRPr="007B38D6">
        <w:rPr>
          <w:rFonts w:asciiTheme="majorHAnsi" w:hAnsiTheme="majorHAnsi"/>
          <w:caps/>
          <w:color w:val="auto"/>
          <w:sz w:val="22"/>
          <w:szCs w:val="22"/>
        </w:rPr>
        <w:fldChar w:fldCharType="separate"/>
      </w:r>
      <w:r w:rsidR="007770B4">
        <w:rPr>
          <w:rFonts w:asciiTheme="majorHAnsi" w:hAnsiTheme="majorHAnsi"/>
          <w:caps/>
          <w:noProof/>
          <w:color w:val="auto"/>
          <w:sz w:val="22"/>
          <w:szCs w:val="22"/>
        </w:rPr>
        <w:t>2</w:t>
      </w:r>
      <w:r w:rsidRPr="007B38D6">
        <w:rPr>
          <w:rFonts w:asciiTheme="majorHAnsi" w:hAnsiTheme="majorHAnsi"/>
          <w:caps/>
          <w:color w:val="auto"/>
          <w:sz w:val="22"/>
          <w:szCs w:val="22"/>
        </w:rPr>
        <w:fldChar w:fldCharType="end"/>
      </w:r>
      <w:r>
        <w:rPr>
          <w:rFonts w:asciiTheme="majorHAnsi" w:hAnsiTheme="majorHAnsi"/>
          <w:caps/>
          <w:color w:val="auto"/>
          <w:sz w:val="22"/>
          <w:szCs w:val="22"/>
        </w:rPr>
        <w:t>. Purpose and Amounts OF MONEY SPENT, FY 13-14</w:t>
      </w:r>
    </w:p>
    <w:tbl>
      <w:tblPr>
        <w:tblW w:w="5607" w:type="dxa"/>
        <w:jc w:val="center"/>
        <w:tblLook w:val="04A0" w:firstRow="1" w:lastRow="0" w:firstColumn="1" w:lastColumn="0" w:noHBand="0" w:noVBand="1"/>
      </w:tblPr>
      <w:tblGrid>
        <w:gridCol w:w="2676"/>
        <w:gridCol w:w="2931"/>
      </w:tblGrid>
      <w:tr w:rsidR="00392C4D" w:rsidRPr="00F31B70" w:rsidTr="00DB4AA6">
        <w:trPr>
          <w:trHeight w:val="585"/>
          <w:jc w:val="center"/>
        </w:trPr>
        <w:tc>
          <w:tcPr>
            <w:tcW w:w="2676" w:type="dxa"/>
            <w:tcBorders>
              <w:top w:val="nil"/>
              <w:left w:val="nil"/>
              <w:bottom w:val="nil"/>
              <w:right w:val="nil"/>
            </w:tcBorders>
            <w:shd w:val="clear" w:color="auto" w:fill="auto"/>
            <w:noWrap/>
            <w:vAlign w:val="bottom"/>
            <w:hideMark/>
          </w:tcPr>
          <w:p w:rsidR="00392C4D" w:rsidRPr="00F31B70" w:rsidRDefault="00392C4D" w:rsidP="00392C4D">
            <w:pPr>
              <w:spacing w:after="0" w:line="240" w:lineRule="auto"/>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Expenditure Description</w:t>
            </w:r>
          </w:p>
        </w:tc>
        <w:tc>
          <w:tcPr>
            <w:tcW w:w="2931" w:type="dxa"/>
            <w:tcBorders>
              <w:top w:val="nil"/>
              <w:left w:val="nil"/>
              <w:bottom w:val="nil"/>
              <w:right w:val="nil"/>
            </w:tcBorders>
            <w:shd w:val="clear" w:color="auto" w:fill="auto"/>
            <w:vAlign w:val="bottom"/>
            <w:hideMark/>
          </w:tcPr>
          <w:p w:rsidR="00392C4D" w:rsidRPr="00F31B70" w:rsidRDefault="007B38D6" w:rsidP="007B38D6">
            <w:pPr>
              <w:spacing w:after="0" w:line="240" w:lineRule="auto"/>
              <w:jc w:val="center"/>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Amount</w:t>
            </w:r>
          </w:p>
        </w:tc>
      </w:tr>
      <w:tr w:rsidR="00392C4D" w:rsidRPr="00F31B70" w:rsidTr="00DB4AA6">
        <w:trPr>
          <w:trHeight w:val="315"/>
          <w:jc w:val="center"/>
        </w:trPr>
        <w:tc>
          <w:tcPr>
            <w:tcW w:w="2676" w:type="dxa"/>
            <w:tcBorders>
              <w:top w:val="single" w:sz="4" w:space="0" w:color="auto"/>
              <w:left w:val="nil"/>
              <w:bottom w:val="nil"/>
              <w:right w:val="nil"/>
            </w:tcBorders>
            <w:shd w:val="clear" w:color="auto" w:fill="auto"/>
            <w:noWrap/>
            <w:vAlign w:val="bottom"/>
            <w:hideMark/>
          </w:tcPr>
          <w:p w:rsidR="00392C4D" w:rsidRPr="00F31B70" w:rsidRDefault="00392C4D" w:rsidP="00392C4D">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Personal Service</w:t>
            </w:r>
          </w:p>
        </w:tc>
        <w:tc>
          <w:tcPr>
            <w:tcW w:w="2931" w:type="dxa"/>
            <w:tcBorders>
              <w:top w:val="single" w:sz="4" w:space="0" w:color="auto"/>
              <w:left w:val="nil"/>
              <w:bottom w:val="nil"/>
              <w:right w:val="nil"/>
            </w:tcBorders>
            <w:shd w:val="clear" w:color="auto" w:fill="auto"/>
            <w:noWrap/>
            <w:vAlign w:val="bottom"/>
            <w:hideMark/>
          </w:tcPr>
          <w:p w:rsidR="00392C4D" w:rsidRPr="00F31B70" w:rsidRDefault="00E349BC" w:rsidP="00E349BC">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w:t>
            </w:r>
            <w:r w:rsidR="00392C4D" w:rsidRPr="00F31B70">
              <w:rPr>
                <w:rFonts w:ascii="Times New Roman" w:eastAsia="Times New Roman" w:hAnsi="Times New Roman" w:cs="Times New Roman"/>
                <w:sz w:val="20"/>
                <w:szCs w:val="20"/>
              </w:rPr>
              <w:t xml:space="preserve">-   </w:t>
            </w:r>
          </w:p>
        </w:tc>
      </w:tr>
      <w:tr w:rsidR="00392C4D" w:rsidRPr="00F31B70" w:rsidTr="00DB4AA6">
        <w:trPr>
          <w:trHeight w:val="315"/>
          <w:jc w:val="center"/>
        </w:trPr>
        <w:tc>
          <w:tcPr>
            <w:tcW w:w="2676" w:type="dxa"/>
            <w:tcBorders>
              <w:top w:val="nil"/>
              <w:left w:val="nil"/>
              <w:bottom w:val="nil"/>
              <w:right w:val="nil"/>
            </w:tcBorders>
            <w:shd w:val="clear" w:color="auto" w:fill="auto"/>
            <w:noWrap/>
            <w:vAlign w:val="bottom"/>
            <w:hideMark/>
          </w:tcPr>
          <w:p w:rsidR="00392C4D" w:rsidRPr="00F31B70" w:rsidRDefault="00392C4D" w:rsidP="00392C4D">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Materials and Service</w:t>
            </w:r>
          </w:p>
        </w:tc>
        <w:tc>
          <w:tcPr>
            <w:tcW w:w="2931" w:type="dxa"/>
            <w:tcBorders>
              <w:top w:val="nil"/>
              <w:left w:val="nil"/>
              <w:bottom w:val="nil"/>
              <w:right w:val="nil"/>
            </w:tcBorders>
            <w:shd w:val="clear" w:color="auto" w:fill="auto"/>
            <w:noWrap/>
            <w:vAlign w:val="bottom"/>
            <w:hideMark/>
          </w:tcPr>
          <w:p w:rsidR="00392C4D" w:rsidRPr="00F31B70" w:rsidRDefault="00392C4D" w:rsidP="00E349BC">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2,172 </w:t>
            </w:r>
          </w:p>
        </w:tc>
      </w:tr>
      <w:tr w:rsidR="00392C4D" w:rsidRPr="00F31B70" w:rsidTr="00DB4AA6">
        <w:trPr>
          <w:trHeight w:val="315"/>
          <w:jc w:val="center"/>
        </w:trPr>
        <w:tc>
          <w:tcPr>
            <w:tcW w:w="2676" w:type="dxa"/>
            <w:tcBorders>
              <w:top w:val="nil"/>
              <w:left w:val="nil"/>
              <w:bottom w:val="nil"/>
              <w:right w:val="nil"/>
            </w:tcBorders>
            <w:shd w:val="clear" w:color="auto" w:fill="auto"/>
            <w:noWrap/>
            <w:vAlign w:val="bottom"/>
            <w:hideMark/>
          </w:tcPr>
          <w:p w:rsidR="00392C4D" w:rsidRPr="00F31B70" w:rsidRDefault="00392C4D" w:rsidP="00392C4D">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Capital Outlay</w:t>
            </w:r>
          </w:p>
        </w:tc>
        <w:tc>
          <w:tcPr>
            <w:tcW w:w="2931" w:type="dxa"/>
            <w:tcBorders>
              <w:top w:val="nil"/>
              <w:left w:val="nil"/>
              <w:bottom w:val="nil"/>
              <w:right w:val="nil"/>
            </w:tcBorders>
            <w:shd w:val="clear" w:color="auto" w:fill="auto"/>
            <w:noWrap/>
            <w:vAlign w:val="bottom"/>
            <w:hideMark/>
          </w:tcPr>
          <w:p w:rsidR="00392C4D" w:rsidRPr="00F31B70" w:rsidRDefault="00392C4D" w:rsidP="00E349BC">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w:t>
            </w:r>
            <w:r w:rsidR="002A3595" w:rsidRPr="00F31B70">
              <w:rPr>
                <w:rFonts w:ascii="Times New Roman" w:eastAsia="Times New Roman" w:hAnsi="Times New Roman" w:cs="Times New Roman"/>
                <w:sz w:val="20"/>
                <w:szCs w:val="20"/>
              </w:rPr>
              <w:t xml:space="preserve">    </w:t>
            </w:r>
            <w:r w:rsidR="00E349BC" w:rsidRPr="00F31B70">
              <w:rPr>
                <w:rFonts w:ascii="Times New Roman" w:eastAsia="Times New Roman" w:hAnsi="Times New Roman" w:cs="Times New Roman"/>
                <w:sz w:val="20"/>
                <w:szCs w:val="20"/>
              </w:rPr>
              <w:t>32,058</w:t>
            </w:r>
            <w:r w:rsidRPr="00F31B70">
              <w:rPr>
                <w:rFonts w:ascii="Times New Roman" w:eastAsia="Times New Roman" w:hAnsi="Times New Roman" w:cs="Times New Roman"/>
                <w:sz w:val="20"/>
                <w:szCs w:val="20"/>
              </w:rPr>
              <w:t xml:space="preserve"> </w:t>
            </w:r>
          </w:p>
        </w:tc>
      </w:tr>
      <w:tr w:rsidR="00392C4D" w:rsidRPr="00F31B70" w:rsidTr="00DB4AA6">
        <w:trPr>
          <w:trHeight w:val="315"/>
          <w:jc w:val="center"/>
        </w:trPr>
        <w:tc>
          <w:tcPr>
            <w:tcW w:w="2676" w:type="dxa"/>
            <w:tcBorders>
              <w:top w:val="nil"/>
              <w:left w:val="nil"/>
              <w:bottom w:val="nil"/>
              <w:right w:val="nil"/>
            </w:tcBorders>
            <w:shd w:val="clear" w:color="auto" w:fill="auto"/>
            <w:noWrap/>
            <w:vAlign w:val="bottom"/>
            <w:hideMark/>
          </w:tcPr>
          <w:p w:rsidR="00392C4D" w:rsidRPr="00F31B70" w:rsidRDefault="00392C4D" w:rsidP="00392C4D">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Debt Service</w:t>
            </w:r>
          </w:p>
        </w:tc>
        <w:tc>
          <w:tcPr>
            <w:tcW w:w="2931" w:type="dxa"/>
            <w:tcBorders>
              <w:top w:val="nil"/>
              <w:left w:val="nil"/>
              <w:bottom w:val="nil"/>
              <w:right w:val="nil"/>
            </w:tcBorders>
            <w:shd w:val="clear" w:color="auto" w:fill="auto"/>
            <w:noWrap/>
            <w:vAlign w:val="bottom"/>
            <w:hideMark/>
          </w:tcPr>
          <w:p w:rsidR="00392C4D" w:rsidRPr="00F31B70" w:rsidRDefault="00392C4D" w:rsidP="00E349BC">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2,500 </w:t>
            </w:r>
          </w:p>
        </w:tc>
      </w:tr>
      <w:tr w:rsidR="00392C4D" w:rsidRPr="00F31B70" w:rsidTr="00DB4AA6">
        <w:trPr>
          <w:trHeight w:val="315"/>
          <w:jc w:val="center"/>
        </w:trPr>
        <w:tc>
          <w:tcPr>
            <w:tcW w:w="2676" w:type="dxa"/>
            <w:tcBorders>
              <w:top w:val="nil"/>
              <w:left w:val="nil"/>
              <w:bottom w:val="nil"/>
              <w:right w:val="nil"/>
            </w:tcBorders>
            <w:shd w:val="clear" w:color="auto" w:fill="auto"/>
            <w:noWrap/>
            <w:vAlign w:val="bottom"/>
            <w:hideMark/>
          </w:tcPr>
          <w:p w:rsidR="00392C4D" w:rsidRPr="00F31B70" w:rsidRDefault="00392C4D" w:rsidP="00392C4D">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Contingency</w:t>
            </w:r>
          </w:p>
        </w:tc>
        <w:tc>
          <w:tcPr>
            <w:tcW w:w="2931" w:type="dxa"/>
            <w:tcBorders>
              <w:top w:val="nil"/>
              <w:left w:val="nil"/>
              <w:bottom w:val="nil"/>
              <w:right w:val="nil"/>
            </w:tcBorders>
            <w:shd w:val="clear" w:color="auto" w:fill="auto"/>
            <w:noWrap/>
            <w:vAlign w:val="bottom"/>
            <w:hideMark/>
          </w:tcPr>
          <w:p w:rsidR="00392C4D" w:rsidRPr="00F31B70" w:rsidRDefault="00392C4D" w:rsidP="00E349BC">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   </w:t>
            </w:r>
          </w:p>
        </w:tc>
      </w:tr>
      <w:tr w:rsidR="00392C4D" w:rsidRPr="00F31B70" w:rsidTr="00DB4AA6">
        <w:trPr>
          <w:trHeight w:val="330"/>
          <w:jc w:val="center"/>
        </w:trPr>
        <w:tc>
          <w:tcPr>
            <w:tcW w:w="2676" w:type="dxa"/>
            <w:tcBorders>
              <w:top w:val="single" w:sz="4" w:space="0" w:color="auto"/>
              <w:left w:val="nil"/>
              <w:bottom w:val="double" w:sz="6" w:space="0" w:color="auto"/>
              <w:right w:val="nil"/>
            </w:tcBorders>
            <w:shd w:val="clear" w:color="auto" w:fill="auto"/>
            <w:noWrap/>
            <w:vAlign w:val="bottom"/>
            <w:hideMark/>
          </w:tcPr>
          <w:p w:rsidR="00392C4D" w:rsidRPr="00F31B70" w:rsidRDefault="00392C4D" w:rsidP="00392C4D">
            <w:pPr>
              <w:spacing w:after="0" w:line="240" w:lineRule="auto"/>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Total Expenditures</w:t>
            </w:r>
          </w:p>
        </w:tc>
        <w:tc>
          <w:tcPr>
            <w:tcW w:w="2931" w:type="dxa"/>
            <w:tcBorders>
              <w:top w:val="single" w:sz="4" w:space="0" w:color="auto"/>
              <w:left w:val="nil"/>
              <w:bottom w:val="double" w:sz="6" w:space="0" w:color="auto"/>
              <w:right w:val="nil"/>
            </w:tcBorders>
            <w:shd w:val="clear" w:color="auto" w:fill="auto"/>
            <w:noWrap/>
            <w:vAlign w:val="bottom"/>
            <w:hideMark/>
          </w:tcPr>
          <w:p w:rsidR="00392C4D" w:rsidRPr="00F31B70" w:rsidRDefault="00392C4D" w:rsidP="00E349BC">
            <w:pPr>
              <w:spacing w:after="0" w:line="240" w:lineRule="auto"/>
              <w:jc w:val="right"/>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 xml:space="preserve"> $                   </w:t>
            </w:r>
            <w:r w:rsidR="00E349BC" w:rsidRPr="00F31B70">
              <w:rPr>
                <w:rFonts w:ascii="Times New Roman" w:eastAsia="Times New Roman" w:hAnsi="Times New Roman" w:cs="Times New Roman"/>
                <w:b/>
                <w:bCs/>
                <w:sz w:val="20"/>
                <w:szCs w:val="20"/>
              </w:rPr>
              <w:t>36</w:t>
            </w:r>
            <w:r w:rsidRPr="00F31B70">
              <w:rPr>
                <w:rFonts w:ascii="Times New Roman" w:eastAsia="Times New Roman" w:hAnsi="Times New Roman" w:cs="Times New Roman"/>
                <w:b/>
                <w:bCs/>
                <w:sz w:val="20"/>
                <w:szCs w:val="20"/>
              </w:rPr>
              <w:t>,</w:t>
            </w:r>
            <w:r w:rsidR="00E349BC" w:rsidRPr="00F31B70">
              <w:rPr>
                <w:rFonts w:ascii="Times New Roman" w:eastAsia="Times New Roman" w:hAnsi="Times New Roman" w:cs="Times New Roman"/>
                <w:b/>
                <w:bCs/>
                <w:sz w:val="20"/>
                <w:szCs w:val="20"/>
              </w:rPr>
              <w:t>730</w:t>
            </w:r>
            <w:r w:rsidRPr="00F31B70">
              <w:rPr>
                <w:rFonts w:ascii="Times New Roman" w:eastAsia="Times New Roman" w:hAnsi="Times New Roman" w:cs="Times New Roman"/>
                <w:b/>
                <w:bCs/>
                <w:sz w:val="20"/>
                <w:szCs w:val="20"/>
              </w:rPr>
              <w:t xml:space="preserve"> </w:t>
            </w:r>
          </w:p>
        </w:tc>
      </w:tr>
    </w:tbl>
    <w:p w:rsidR="00621493" w:rsidRDefault="00621493" w:rsidP="00A24726">
      <w:pPr>
        <w:pStyle w:val="ListParagraph"/>
      </w:pPr>
    </w:p>
    <w:p w:rsidR="002C0269" w:rsidRDefault="00A24726" w:rsidP="00A24726">
      <w:pPr>
        <w:pStyle w:val="ListParagraph"/>
        <w:numPr>
          <w:ilvl w:val="0"/>
          <w:numId w:val="1"/>
        </w:numPr>
      </w:pPr>
      <w:r w:rsidRPr="00D824AA">
        <w:rPr>
          <w:rFonts w:asciiTheme="majorHAnsi" w:hAnsiTheme="majorHAnsi"/>
          <w:b/>
          <w:i/>
        </w:rPr>
        <w:t>An estimate of the moneys to be received during the current fiscal year under ORS 457.420 to 457.460 and from indebtedness incurred under ORS 457.420 to 457.460.</w:t>
      </w:r>
      <w:r w:rsidR="00581E01">
        <w:br/>
      </w:r>
      <w:r w:rsidR="00581E01">
        <w:br/>
      </w:r>
      <w:r w:rsidR="002C0269" w:rsidRPr="00D824AA">
        <w:rPr>
          <w:rFonts w:asciiTheme="majorHAnsi" w:hAnsiTheme="majorHAnsi"/>
        </w:rPr>
        <w:t>Table 3 identifies the</w:t>
      </w:r>
      <w:r w:rsidR="00DB2917">
        <w:rPr>
          <w:rFonts w:asciiTheme="majorHAnsi" w:hAnsiTheme="majorHAnsi"/>
        </w:rPr>
        <w:t xml:space="preserve"> monies to be received and their</w:t>
      </w:r>
      <w:r w:rsidR="002C0269" w:rsidRPr="00D824AA">
        <w:rPr>
          <w:rFonts w:asciiTheme="majorHAnsi" w:hAnsiTheme="majorHAnsi"/>
        </w:rPr>
        <w:t xml:space="preserve"> source. </w:t>
      </w:r>
      <w:r w:rsidR="00581E01" w:rsidRPr="00D824AA">
        <w:rPr>
          <w:rFonts w:asciiTheme="majorHAnsi" w:hAnsiTheme="majorHAnsi"/>
        </w:rPr>
        <w:t>During fiscal year 2014-15 it was estimated that the Commission would begin the year with $124,400 beginning cash balance</w:t>
      </w:r>
      <w:r w:rsidR="00E349BC">
        <w:rPr>
          <w:rStyle w:val="FootnoteReference"/>
          <w:rFonts w:asciiTheme="majorHAnsi" w:hAnsiTheme="majorHAnsi"/>
        </w:rPr>
        <w:footnoteReference w:id="1"/>
      </w:r>
      <w:r w:rsidR="00581E01" w:rsidRPr="00D824AA">
        <w:rPr>
          <w:rFonts w:asciiTheme="majorHAnsi" w:hAnsiTheme="majorHAnsi"/>
        </w:rPr>
        <w:t>. Total tax increment revenues budgeted to be received $19,900 which included prior year collections of $500. Total moneys $124,900.</w:t>
      </w:r>
      <w:r w:rsidR="00581E01">
        <w:t xml:space="preserve"> </w:t>
      </w:r>
    </w:p>
    <w:p w:rsidR="007B38D6" w:rsidRDefault="007B38D6" w:rsidP="007B38D6">
      <w:pPr>
        <w:pStyle w:val="Caption"/>
        <w:keepNext/>
        <w:spacing w:after="0"/>
        <w:rPr>
          <w:rFonts w:asciiTheme="majorHAnsi" w:hAnsiTheme="majorHAnsi"/>
          <w:caps/>
          <w:color w:val="auto"/>
          <w:sz w:val="22"/>
          <w:szCs w:val="22"/>
        </w:rPr>
      </w:pPr>
    </w:p>
    <w:p w:rsidR="007B38D6" w:rsidRPr="007B38D6" w:rsidRDefault="007B38D6" w:rsidP="002C5783">
      <w:pPr>
        <w:pStyle w:val="Caption"/>
        <w:keepNext/>
        <w:spacing w:after="0"/>
        <w:ind w:firstLine="720"/>
        <w:rPr>
          <w:rFonts w:asciiTheme="majorHAnsi" w:hAnsiTheme="majorHAnsi"/>
          <w:caps/>
          <w:color w:val="auto"/>
          <w:sz w:val="22"/>
          <w:szCs w:val="22"/>
        </w:rPr>
      </w:pPr>
      <w:r w:rsidRPr="007B38D6">
        <w:rPr>
          <w:rFonts w:asciiTheme="majorHAnsi" w:hAnsiTheme="majorHAnsi"/>
          <w:caps/>
          <w:color w:val="auto"/>
          <w:sz w:val="22"/>
          <w:szCs w:val="22"/>
        </w:rPr>
        <w:t xml:space="preserve">Table </w:t>
      </w:r>
      <w:r w:rsidRPr="007B38D6">
        <w:rPr>
          <w:rFonts w:asciiTheme="majorHAnsi" w:hAnsiTheme="majorHAnsi"/>
          <w:caps/>
          <w:color w:val="auto"/>
          <w:sz w:val="22"/>
          <w:szCs w:val="22"/>
        </w:rPr>
        <w:fldChar w:fldCharType="begin"/>
      </w:r>
      <w:r w:rsidRPr="007B38D6">
        <w:rPr>
          <w:rFonts w:asciiTheme="majorHAnsi" w:hAnsiTheme="majorHAnsi"/>
          <w:caps/>
          <w:color w:val="auto"/>
          <w:sz w:val="22"/>
          <w:szCs w:val="22"/>
        </w:rPr>
        <w:instrText xml:space="preserve"> SEQ Table \* ARABIC </w:instrText>
      </w:r>
      <w:r w:rsidRPr="007B38D6">
        <w:rPr>
          <w:rFonts w:asciiTheme="majorHAnsi" w:hAnsiTheme="majorHAnsi"/>
          <w:caps/>
          <w:color w:val="auto"/>
          <w:sz w:val="22"/>
          <w:szCs w:val="22"/>
        </w:rPr>
        <w:fldChar w:fldCharType="separate"/>
      </w:r>
      <w:r w:rsidR="007770B4">
        <w:rPr>
          <w:rFonts w:asciiTheme="majorHAnsi" w:hAnsiTheme="majorHAnsi"/>
          <w:caps/>
          <w:noProof/>
          <w:color w:val="auto"/>
          <w:sz w:val="22"/>
          <w:szCs w:val="22"/>
        </w:rPr>
        <w:t>3</w:t>
      </w:r>
      <w:r w:rsidRPr="007B38D6">
        <w:rPr>
          <w:rFonts w:asciiTheme="majorHAnsi" w:hAnsiTheme="majorHAnsi"/>
          <w:caps/>
          <w:color w:val="auto"/>
          <w:sz w:val="22"/>
          <w:szCs w:val="22"/>
        </w:rPr>
        <w:fldChar w:fldCharType="end"/>
      </w:r>
      <w:r>
        <w:rPr>
          <w:rFonts w:asciiTheme="majorHAnsi" w:hAnsiTheme="majorHAnsi"/>
          <w:caps/>
          <w:color w:val="auto"/>
          <w:sz w:val="22"/>
          <w:szCs w:val="22"/>
        </w:rPr>
        <w:t>. MONEY PLANNED TO BE RECEIVED, FY14-15</w:t>
      </w:r>
      <w:r>
        <w:rPr>
          <w:rFonts w:asciiTheme="majorHAnsi" w:hAnsiTheme="majorHAnsi"/>
          <w:caps/>
          <w:color w:val="auto"/>
          <w:sz w:val="22"/>
          <w:szCs w:val="22"/>
        </w:rPr>
        <w:br/>
      </w:r>
      <w:r>
        <w:rPr>
          <w:rFonts w:asciiTheme="majorHAnsi" w:hAnsiTheme="majorHAnsi"/>
          <w:caps/>
          <w:color w:val="auto"/>
          <w:sz w:val="22"/>
          <w:szCs w:val="22"/>
        </w:rPr>
        <w:br/>
      </w:r>
    </w:p>
    <w:tbl>
      <w:tblPr>
        <w:tblW w:w="6225" w:type="dxa"/>
        <w:jc w:val="center"/>
        <w:tblLook w:val="04A0" w:firstRow="1" w:lastRow="0" w:firstColumn="1" w:lastColumn="0" w:noHBand="0" w:noVBand="1"/>
      </w:tblPr>
      <w:tblGrid>
        <w:gridCol w:w="3885"/>
        <w:gridCol w:w="2340"/>
      </w:tblGrid>
      <w:tr w:rsidR="007B38D6" w:rsidRPr="00F31B70" w:rsidTr="00F31B70">
        <w:trPr>
          <w:trHeight w:val="315"/>
          <w:jc w:val="center"/>
        </w:trPr>
        <w:tc>
          <w:tcPr>
            <w:tcW w:w="3885" w:type="dxa"/>
            <w:tcBorders>
              <w:left w:val="nil"/>
              <w:right w:val="nil"/>
            </w:tcBorders>
            <w:shd w:val="clear" w:color="auto" w:fill="auto"/>
            <w:noWrap/>
            <w:vAlign w:val="bottom"/>
          </w:tcPr>
          <w:p w:rsidR="007B38D6" w:rsidRPr="00F31B70" w:rsidRDefault="007B38D6" w:rsidP="00393B10">
            <w:pPr>
              <w:spacing w:after="0" w:line="240" w:lineRule="auto"/>
              <w:rPr>
                <w:rFonts w:ascii="Times New Roman" w:eastAsia="Times New Roman" w:hAnsi="Times New Roman" w:cs="Times New Roman"/>
                <w:b/>
                <w:sz w:val="20"/>
                <w:szCs w:val="20"/>
              </w:rPr>
            </w:pPr>
            <w:r w:rsidRPr="00F31B70">
              <w:rPr>
                <w:rFonts w:ascii="Times New Roman" w:eastAsia="Times New Roman" w:hAnsi="Times New Roman" w:cs="Times New Roman"/>
                <w:b/>
                <w:sz w:val="20"/>
                <w:szCs w:val="20"/>
              </w:rPr>
              <w:t>Source Description</w:t>
            </w:r>
          </w:p>
        </w:tc>
        <w:tc>
          <w:tcPr>
            <w:tcW w:w="2340" w:type="dxa"/>
            <w:tcBorders>
              <w:left w:val="nil"/>
              <w:right w:val="nil"/>
            </w:tcBorders>
            <w:shd w:val="clear" w:color="auto" w:fill="auto"/>
            <w:noWrap/>
            <w:vAlign w:val="bottom"/>
          </w:tcPr>
          <w:p w:rsidR="007B38D6" w:rsidRPr="00F31B70" w:rsidRDefault="007B38D6" w:rsidP="007B38D6">
            <w:pPr>
              <w:spacing w:after="0" w:line="240" w:lineRule="auto"/>
              <w:jc w:val="center"/>
              <w:rPr>
                <w:rFonts w:ascii="Times New Roman" w:eastAsia="Times New Roman" w:hAnsi="Times New Roman" w:cs="Times New Roman"/>
                <w:b/>
                <w:sz w:val="20"/>
                <w:szCs w:val="20"/>
              </w:rPr>
            </w:pPr>
            <w:r w:rsidRPr="00F31B70">
              <w:rPr>
                <w:rFonts w:ascii="Times New Roman" w:eastAsia="Times New Roman" w:hAnsi="Times New Roman" w:cs="Times New Roman"/>
                <w:b/>
                <w:sz w:val="20"/>
                <w:szCs w:val="20"/>
              </w:rPr>
              <w:t>Amount</w:t>
            </w:r>
          </w:p>
        </w:tc>
      </w:tr>
      <w:tr w:rsidR="00DB4AA6" w:rsidRPr="00F31B70" w:rsidTr="00DB4AA6">
        <w:trPr>
          <w:trHeight w:val="315"/>
          <w:jc w:val="center"/>
        </w:trPr>
        <w:tc>
          <w:tcPr>
            <w:tcW w:w="3885" w:type="dxa"/>
            <w:tcBorders>
              <w:top w:val="single" w:sz="4" w:space="0" w:color="auto"/>
              <w:left w:val="nil"/>
              <w:right w:val="nil"/>
            </w:tcBorders>
            <w:shd w:val="clear" w:color="auto" w:fill="auto"/>
            <w:noWrap/>
            <w:vAlign w:val="bottom"/>
          </w:tcPr>
          <w:p w:rsidR="00DB4AA6" w:rsidRPr="00F31B70" w:rsidRDefault="00D824AA"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B</w:t>
            </w:r>
            <w:r w:rsidR="00DB4AA6" w:rsidRPr="00F31B70">
              <w:rPr>
                <w:rFonts w:ascii="Times New Roman" w:eastAsia="Times New Roman" w:hAnsi="Times New Roman" w:cs="Times New Roman"/>
                <w:sz w:val="20"/>
                <w:szCs w:val="20"/>
              </w:rPr>
              <w:t>eginning Fund Balance</w:t>
            </w:r>
          </w:p>
        </w:tc>
        <w:tc>
          <w:tcPr>
            <w:tcW w:w="2340" w:type="dxa"/>
            <w:tcBorders>
              <w:top w:val="single" w:sz="4" w:space="0" w:color="auto"/>
              <w:left w:val="nil"/>
              <w:right w:val="nil"/>
            </w:tcBorders>
            <w:shd w:val="clear" w:color="auto" w:fill="auto"/>
            <w:noWrap/>
            <w:vAlign w:val="bottom"/>
          </w:tcPr>
          <w:p w:rsidR="00DB4AA6" w:rsidRPr="00F31B70" w:rsidRDefault="00DB4AA6" w:rsidP="00DB2917">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124,</w:t>
            </w:r>
            <w:r w:rsidR="00DB2917" w:rsidRPr="00F31B70">
              <w:rPr>
                <w:rFonts w:ascii="Times New Roman" w:eastAsia="Times New Roman" w:hAnsi="Times New Roman" w:cs="Times New Roman"/>
                <w:sz w:val="20"/>
                <w:szCs w:val="20"/>
              </w:rPr>
              <w:t>4</w:t>
            </w:r>
            <w:r w:rsidRPr="00F31B70">
              <w:rPr>
                <w:rFonts w:ascii="Times New Roman" w:eastAsia="Times New Roman" w:hAnsi="Times New Roman" w:cs="Times New Roman"/>
                <w:sz w:val="20"/>
                <w:szCs w:val="20"/>
              </w:rPr>
              <w:t>00</w:t>
            </w:r>
          </w:p>
        </w:tc>
      </w:tr>
      <w:tr w:rsidR="002C0269" w:rsidRPr="00F31B70" w:rsidTr="00DB4AA6">
        <w:trPr>
          <w:trHeight w:val="315"/>
          <w:jc w:val="center"/>
        </w:trPr>
        <w:tc>
          <w:tcPr>
            <w:tcW w:w="3885" w:type="dxa"/>
            <w:tcBorders>
              <w:left w:val="nil"/>
              <w:bottom w:val="nil"/>
              <w:right w:val="nil"/>
            </w:tcBorders>
            <w:shd w:val="clear" w:color="auto" w:fill="auto"/>
            <w:noWrap/>
            <w:vAlign w:val="bottom"/>
            <w:hideMark/>
          </w:tcPr>
          <w:p w:rsidR="002C0269" w:rsidRPr="00F31B70" w:rsidRDefault="002C0269"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Amount Received TIR</w:t>
            </w:r>
          </w:p>
        </w:tc>
        <w:tc>
          <w:tcPr>
            <w:tcW w:w="2340" w:type="dxa"/>
            <w:tcBorders>
              <w:left w:val="nil"/>
              <w:bottom w:val="nil"/>
              <w:right w:val="nil"/>
            </w:tcBorders>
            <w:shd w:val="clear" w:color="auto" w:fill="auto"/>
            <w:noWrap/>
            <w:vAlign w:val="bottom"/>
            <w:hideMark/>
          </w:tcPr>
          <w:p w:rsidR="002C0269" w:rsidRPr="00F31B70" w:rsidRDefault="002C0269" w:rsidP="00DB4AA6">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19,</w:t>
            </w:r>
            <w:r w:rsidR="00DB4AA6" w:rsidRPr="00F31B70">
              <w:rPr>
                <w:rFonts w:ascii="Times New Roman" w:eastAsia="Times New Roman" w:hAnsi="Times New Roman" w:cs="Times New Roman"/>
                <w:sz w:val="20"/>
                <w:szCs w:val="20"/>
              </w:rPr>
              <w:t>4</w:t>
            </w:r>
            <w:r w:rsidRPr="00F31B70">
              <w:rPr>
                <w:rFonts w:ascii="Times New Roman" w:eastAsia="Times New Roman" w:hAnsi="Times New Roman" w:cs="Times New Roman"/>
                <w:sz w:val="20"/>
                <w:szCs w:val="20"/>
              </w:rPr>
              <w:t xml:space="preserve">00 </w:t>
            </w:r>
          </w:p>
        </w:tc>
      </w:tr>
      <w:tr w:rsidR="002C0269" w:rsidRPr="00F31B70" w:rsidTr="00393B10">
        <w:trPr>
          <w:trHeight w:val="315"/>
          <w:jc w:val="center"/>
        </w:trPr>
        <w:tc>
          <w:tcPr>
            <w:tcW w:w="3885" w:type="dxa"/>
            <w:tcBorders>
              <w:top w:val="nil"/>
              <w:left w:val="nil"/>
              <w:bottom w:val="nil"/>
              <w:right w:val="nil"/>
            </w:tcBorders>
            <w:shd w:val="clear" w:color="auto" w:fill="auto"/>
            <w:noWrap/>
            <w:vAlign w:val="bottom"/>
            <w:hideMark/>
          </w:tcPr>
          <w:p w:rsidR="002C0269" w:rsidRPr="00F31B70" w:rsidRDefault="002C0269"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Amount Received Interest</w:t>
            </w:r>
          </w:p>
        </w:tc>
        <w:tc>
          <w:tcPr>
            <w:tcW w:w="2340" w:type="dxa"/>
            <w:tcBorders>
              <w:top w:val="nil"/>
              <w:left w:val="nil"/>
              <w:bottom w:val="nil"/>
              <w:right w:val="nil"/>
            </w:tcBorders>
            <w:shd w:val="clear" w:color="auto" w:fill="auto"/>
            <w:noWrap/>
            <w:vAlign w:val="bottom"/>
            <w:hideMark/>
          </w:tcPr>
          <w:p w:rsidR="002C0269" w:rsidRPr="00F31B70" w:rsidRDefault="002C0269" w:rsidP="002A3595">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w:t>
            </w:r>
            <w:r w:rsidR="002A3595" w:rsidRPr="00F31B70">
              <w:rPr>
                <w:rFonts w:ascii="Times New Roman" w:eastAsia="Times New Roman" w:hAnsi="Times New Roman" w:cs="Times New Roman"/>
                <w:sz w:val="20"/>
                <w:szCs w:val="20"/>
              </w:rPr>
              <w:t xml:space="preserve"> </w:t>
            </w:r>
            <w:r w:rsidRPr="00F31B70">
              <w:rPr>
                <w:rFonts w:ascii="Times New Roman" w:eastAsia="Times New Roman" w:hAnsi="Times New Roman" w:cs="Times New Roman"/>
                <w:sz w:val="20"/>
                <w:szCs w:val="20"/>
              </w:rPr>
              <w:t xml:space="preserve">                       </w:t>
            </w:r>
            <w:r w:rsidR="002A3595" w:rsidRPr="00F31B70">
              <w:rPr>
                <w:rFonts w:ascii="Times New Roman" w:eastAsia="Times New Roman" w:hAnsi="Times New Roman" w:cs="Times New Roman"/>
                <w:sz w:val="20"/>
                <w:szCs w:val="20"/>
              </w:rPr>
              <w:t>-</w:t>
            </w:r>
            <w:r w:rsidRPr="00F31B70">
              <w:rPr>
                <w:rFonts w:ascii="Times New Roman" w:eastAsia="Times New Roman" w:hAnsi="Times New Roman" w:cs="Times New Roman"/>
                <w:sz w:val="20"/>
                <w:szCs w:val="20"/>
              </w:rPr>
              <w:t xml:space="preserve"> </w:t>
            </w:r>
          </w:p>
        </w:tc>
      </w:tr>
      <w:tr w:rsidR="00DB4AA6" w:rsidRPr="00F31B70" w:rsidTr="00393B10">
        <w:trPr>
          <w:trHeight w:val="315"/>
          <w:jc w:val="center"/>
        </w:trPr>
        <w:tc>
          <w:tcPr>
            <w:tcW w:w="3885" w:type="dxa"/>
            <w:tcBorders>
              <w:top w:val="nil"/>
              <w:left w:val="nil"/>
              <w:bottom w:val="nil"/>
              <w:right w:val="nil"/>
            </w:tcBorders>
            <w:shd w:val="clear" w:color="auto" w:fill="auto"/>
            <w:noWrap/>
            <w:vAlign w:val="bottom"/>
          </w:tcPr>
          <w:p w:rsidR="00DB4AA6" w:rsidRPr="00F31B70" w:rsidRDefault="00DB4AA6"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Previously Levied Taxes to be Received</w:t>
            </w:r>
          </w:p>
        </w:tc>
        <w:tc>
          <w:tcPr>
            <w:tcW w:w="2340" w:type="dxa"/>
            <w:tcBorders>
              <w:top w:val="nil"/>
              <w:left w:val="nil"/>
              <w:bottom w:val="nil"/>
              <w:right w:val="nil"/>
            </w:tcBorders>
            <w:shd w:val="clear" w:color="auto" w:fill="auto"/>
            <w:noWrap/>
            <w:vAlign w:val="bottom"/>
          </w:tcPr>
          <w:p w:rsidR="00DB4AA6" w:rsidRPr="00F31B70" w:rsidRDefault="00DB4AA6" w:rsidP="002C0269">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500</w:t>
            </w:r>
          </w:p>
        </w:tc>
      </w:tr>
      <w:tr w:rsidR="002C0269" w:rsidRPr="00F31B70" w:rsidTr="00393B10">
        <w:trPr>
          <w:trHeight w:val="315"/>
          <w:jc w:val="center"/>
        </w:trPr>
        <w:tc>
          <w:tcPr>
            <w:tcW w:w="3885" w:type="dxa"/>
            <w:tcBorders>
              <w:top w:val="nil"/>
              <w:left w:val="nil"/>
              <w:bottom w:val="nil"/>
              <w:right w:val="nil"/>
            </w:tcBorders>
            <w:shd w:val="clear" w:color="auto" w:fill="auto"/>
            <w:noWrap/>
            <w:vAlign w:val="bottom"/>
            <w:hideMark/>
          </w:tcPr>
          <w:p w:rsidR="002C0269" w:rsidRPr="00F31B70" w:rsidRDefault="002C0269"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Amount Received Indebtedness</w:t>
            </w:r>
          </w:p>
        </w:tc>
        <w:tc>
          <w:tcPr>
            <w:tcW w:w="2340" w:type="dxa"/>
            <w:tcBorders>
              <w:top w:val="nil"/>
              <w:left w:val="nil"/>
              <w:bottom w:val="nil"/>
              <w:right w:val="nil"/>
            </w:tcBorders>
            <w:shd w:val="clear" w:color="auto" w:fill="auto"/>
            <w:noWrap/>
            <w:vAlign w:val="bottom"/>
            <w:hideMark/>
          </w:tcPr>
          <w:p w:rsidR="002C0269" w:rsidRPr="00F31B70" w:rsidRDefault="002C0269" w:rsidP="002A3595">
            <w:pPr>
              <w:spacing w:after="0" w:line="240" w:lineRule="auto"/>
              <w:jc w:val="right"/>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w:t>
            </w:r>
            <w:r w:rsidR="002A3595" w:rsidRPr="00F31B70">
              <w:rPr>
                <w:rFonts w:ascii="Times New Roman" w:eastAsia="Times New Roman" w:hAnsi="Times New Roman" w:cs="Times New Roman"/>
                <w:sz w:val="20"/>
                <w:szCs w:val="20"/>
              </w:rPr>
              <w:t xml:space="preserve"> </w:t>
            </w:r>
            <w:r w:rsidRPr="00F31B70">
              <w:rPr>
                <w:rFonts w:ascii="Times New Roman" w:eastAsia="Times New Roman" w:hAnsi="Times New Roman" w:cs="Times New Roman"/>
                <w:sz w:val="20"/>
                <w:szCs w:val="20"/>
              </w:rPr>
              <w:t xml:space="preserve">                     </w:t>
            </w:r>
            <w:r w:rsidR="002A3595" w:rsidRPr="00F31B70">
              <w:rPr>
                <w:rFonts w:ascii="Times New Roman" w:eastAsia="Times New Roman" w:hAnsi="Times New Roman" w:cs="Times New Roman"/>
                <w:sz w:val="20"/>
                <w:szCs w:val="20"/>
              </w:rPr>
              <w:t>-</w:t>
            </w:r>
            <w:r w:rsidRPr="00F31B70">
              <w:rPr>
                <w:rFonts w:ascii="Times New Roman" w:eastAsia="Times New Roman" w:hAnsi="Times New Roman" w:cs="Times New Roman"/>
                <w:sz w:val="20"/>
                <w:szCs w:val="20"/>
              </w:rPr>
              <w:t xml:space="preserve"> </w:t>
            </w:r>
          </w:p>
        </w:tc>
      </w:tr>
      <w:tr w:rsidR="002C0269" w:rsidRPr="00F31B70" w:rsidTr="00393B10">
        <w:trPr>
          <w:trHeight w:val="330"/>
          <w:jc w:val="center"/>
        </w:trPr>
        <w:tc>
          <w:tcPr>
            <w:tcW w:w="3885" w:type="dxa"/>
            <w:tcBorders>
              <w:top w:val="single" w:sz="4" w:space="0" w:color="auto"/>
              <w:left w:val="nil"/>
              <w:bottom w:val="double" w:sz="6" w:space="0" w:color="auto"/>
              <w:right w:val="nil"/>
            </w:tcBorders>
            <w:shd w:val="clear" w:color="auto" w:fill="auto"/>
            <w:noWrap/>
            <w:vAlign w:val="bottom"/>
            <w:hideMark/>
          </w:tcPr>
          <w:p w:rsidR="002C0269" w:rsidRPr="00F31B70" w:rsidRDefault="002C0269" w:rsidP="00393B10">
            <w:pPr>
              <w:spacing w:after="0" w:line="240" w:lineRule="auto"/>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Total Amount Received</w:t>
            </w:r>
          </w:p>
        </w:tc>
        <w:tc>
          <w:tcPr>
            <w:tcW w:w="2340" w:type="dxa"/>
            <w:tcBorders>
              <w:top w:val="single" w:sz="4" w:space="0" w:color="auto"/>
              <w:left w:val="nil"/>
              <w:bottom w:val="double" w:sz="6" w:space="0" w:color="auto"/>
              <w:right w:val="nil"/>
            </w:tcBorders>
            <w:shd w:val="clear" w:color="auto" w:fill="auto"/>
            <w:noWrap/>
            <w:vAlign w:val="bottom"/>
            <w:hideMark/>
          </w:tcPr>
          <w:p w:rsidR="002C0269" w:rsidRPr="00F31B70" w:rsidRDefault="002C0269" w:rsidP="002A3595">
            <w:pPr>
              <w:spacing w:after="0" w:line="240" w:lineRule="auto"/>
              <w:jc w:val="right"/>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 xml:space="preserve"> $             </w:t>
            </w:r>
            <w:r w:rsidR="00DB4AA6" w:rsidRPr="00F31B70">
              <w:rPr>
                <w:rFonts w:ascii="Times New Roman" w:eastAsia="Times New Roman" w:hAnsi="Times New Roman" w:cs="Times New Roman"/>
                <w:b/>
                <w:bCs/>
                <w:sz w:val="20"/>
                <w:szCs w:val="20"/>
              </w:rPr>
              <w:t>144,300</w:t>
            </w:r>
            <w:r w:rsidRPr="00F31B70">
              <w:rPr>
                <w:rFonts w:ascii="Times New Roman" w:eastAsia="Times New Roman" w:hAnsi="Times New Roman" w:cs="Times New Roman"/>
                <w:b/>
                <w:bCs/>
                <w:sz w:val="20"/>
                <w:szCs w:val="20"/>
              </w:rPr>
              <w:t xml:space="preserve"> </w:t>
            </w:r>
          </w:p>
        </w:tc>
      </w:tr>
    </w:tbl>
    <w:p w:rsidR="00A24726" w:rsidRDefault="00A24726" w:rsidP="003C1B81">
      <w:pPr>
        <w:pStyle w:val="ListParagraph"/>
      </w:pPr>
      <w:r>
        <w:br/>
      </w:r>
    </w:p>
    <w:p w:rsidR="00EB7D05" w:rsidRPr="00D824AA" w:rsidRDefault="00A24726" w:rsidP="00A24726">
      <w:pPr>
        <w:pStyle w:val="ListParagraph"/>
        <w:numPr>
          <w:ilvl w:val="0"/>
          <w:numId w:val="1"/>
        </w:numPr>
        <w:rPr>
          <w:rFonts w:asciiTheme="majorHAnsi" w:hAnsiTheme="majorHAnsi"/>
          <w:b/>
          <w:i/>
        </w:rPr>
      </w:pPr>
      <w:r w:rsidRPr="00D824AA">
        <w:rPr>
          <w:rFonts w:asciiTheme="majorHAnsi" w:hAnsiTheme="majorHAnsi"/>
          <w:b/>
          <w:i/>
        </w:rPr>
        <w:t>A budget setting forth the purpose and estimated amounts for which the moneys which have been or will be received under ORS 457.420 to 457.460 and from indebtedness incurred under ORS 457.420 to 457.460 are to be</w:t>
      </w:r>
      <w:r w:rsidR="00DF3D13" w:rsidRPr="00D824AA">
        <w:rPr>
          <w:rFonts w:asciiTheme="majorHAnsi" w:hAnsiTheme="majorHAnsi"/>
          <w:b/>
          <w:i/>
        </w:rPr>
        <w:t xml:space="preserve"> expended during the current fiscal year.</w:t>
      </w:r>
      <w:r w:rsidR="00C334F1" w:rsidRPr="00D824AA">
        <w:rPr>
          <w:rFonts w:asciiTheme="majorHAnsi" w:hAnsiTheme="majorHAnsi"/>
          <w:b/>
          <w:i/>
        </w:rPr>
        <w:br/>
      </w:r>
    </w:p>
    <w:p w:rsidR="00EB7D05" w:rsidRPr="00D824AA" w:rsidRDefault="00EB7D05" w:rsidP="00EB7D05">
      <w:pPr>
        <w:pStyle w:val="ListParagraph"/>
        <w:rPr>
          <w:rFonts w:asciiTheme="majorHAnsi" w:hAnsiTheme="majorHAnsi"/>
        </w:rPr>
      </w:pPr>
      <w:r w:rsidRPr="00D824AA">
        <w:rPr>
          <w:rFonts w:asciiTheme="majorHAnsi" w:hAnsiTheme="majorHAnsi"/>
        </w:rPr>
        <w:t>Table 4 identifies the budget and purpose of expenditures by the Commission for the current fiscal year (FY15).</w:t>
      </w:r>
    </w:p>
    <w:p w:rsidR="007770B4" w:rsidRPr="007770B4" w:rsidRDefault="007770B4" w:rsidP="002C5783">
      <w:pPr>
        <w:pStyle w:val="Caption"/>
        <w:keepNext/>
        <w:ind w:left="720"/>
        <w:rPr>
          <w:rFonts w:asciiTheme="majorHAnsi" w:hAnsiTheme="majorHAnsi"/>
          <w:caps/>
          <w:color w:val="auto"/>
          <w:sz w:val="22"/>
          <w:szCs w:val="22"/>
        </w:rPr>
      </w:pPr>
      <w:r w:rsidRPr="007770B4">
        <w:rPr>
          <w:rFonts w:asciiTheme="majorHAnsi" w:hAnsiTheme="majorHAnsi"/>
          <w:caps/>
          <w:color w:val="auto"/>
          <w:sz w:val="22"/>
          <w:szCs w:val="22"/>
        </w:rPr>
        <w:t xml:space="preserve">Table </w:t>
      </w:r>
      <w:r w:rsidRPr="007770B4">
        <w:rPr>
          <w:rFonts w:asciiTheme="majorHAnsi" w:hAnsiTheme="majorHAnsi"/>
          <w:caps/>
          <w:color w:val="auto"/>
          <w:sz w:val="22"/>
          <w:szCs w:val="22"/>
        </w:rPr>
        <w:fldChar w:fldCharType="begin"/>
      </w:r>
      <w:r w:rsidRPr="007770B4">
        <w:rPr>
          <w:rFonts w:asciiTheme="majorHAnsi" w:hAnsiTheme="majorHAnsi"/>
          <w:caps/>
          <w:color w:val="auto"/>
          <w:sz w:val="22"/>
          <w:szCs w:val="22"/>
        </w:rPr>
        <w:instrText xml:space="preserve"> SEQ Table \* ARABIC </w:instrText>
      </w:r>
      <w:r w:rsidRPr="007770B4">
        <w:rPr>
          <w:rFonts w:asciiTheme="majorHAnsi" w:hAnsiTheme="majorHAnsi"/>
          <w:caps/>
          <w:color w:val="auto"/>
          <w:sz w:val="22"/>
          <w:szCs w:val="22"/>
        </w:rPr>
        <w:fldChar w:fldCharType="separate"/>
      </w:r>
      <w:r>
        <w:rPr>
          <w:rFonts w:asciiTheme="majorHAnsi" w:hAnsiTheme="majorHAnsi"/>
          <w:caps/>
          <w:noProof/>
          <w:color w:val="auto"/>
          <w:sz w:val="22"/>
          <w:szCs w:val="22"/>
        </w:rPr>
        <w:t>4</w:t>
      </w:r>
      <w:r w:rsidRPr="007770B4">
        <w:rPr>
          <w:rFonts w:asciiTheme="majorHAnsi" w:hAnsiTheme="majorHAnsi"/>
          <w:caps/>
          <w:color w:val="auto"/>
          <w:sz w:val="22"/>
          <w:szCs w:val="22"/>
        </w:rPr>
        <w:fldChar w:fldCharType="end"/>
      </w:r>
      <w:r>
        <w:rPr>
          <w:rFonts w:asciiTheme="majorHAnsi" w:hAnsiTheme="majorHAnsi"/>
          <w:caps/>
          <w:color w:val="auto"/>
          <w:sz w:val="22"/>
          <w:szCs w:val="22"/>
        </w:rPr>
        <w:t>. Purpose and Amounts PLANNED TO BE SPENT, FY 14-15</w:t>
      </w:r>
    </w:p>
    <w:tbl>
      <w:tblPr>
        <w:tblW w:w="5273" w:type="dxa"/>
        <w:jc w:val="center"/>
        <w:tblLook w:val="04A0" w:firstRow="1" w:lastRow="0" w:firstColumn="1" w:lastColumn="0" w:noHBand="0" w:noVBand="1"/>
      </w:tblPr>
      <w:tblGrid>
        <w:gridCol w:w="2676"/>
        <w:gridCol w:w="2597"/>
      </w:tblGrid>
      <w:tr w:rsidR="00EB7D05" w:rsidRPr="00F31B70" w:rsidTr="00393B10">
        <w:trPr>
          <w:trHeight w:val="585"/>
          <w:jc w:val="center"/>
        </w:trPr>
        <w:tc>
          <w:tcPr>
            <w:tcW w:w="2676" w:type="dxa"/>
            <w:tcBorders>
              <w:top w:val="nil"/>
              <w:left w:val="nil"/>
              <w:bottom w:val="nil"/>
              <w:right w:val="nil"/>
            </w:tcBorders>
            <w:shd w:val="clear" w:color="auto" w:fill="auto"/>
            <w:noWrap/>
            <w:vAlign w:val="bottom"/>
            <w:hideMark/>
          </w:tcPr>
          <w:p w:rsidR="00EB7D05" w:rsidRPr="00F31B70" w:rsidRDefault="00EB7D05" w:rsidP="00393B10">
            <w:pPr>
              <w:spacing w:after="0" w:line="240" w:lineRule="auto"/>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Expenditure Description</w:t>
            </w:r>
          </w:p>
        </w:tc>
        <w:tc>
          <w:tcPr>
            <w:tcW w:w="2597" w:type="dxa"/>
            <w:tcBorders>
              <w:top w:val="nil"/>
              <w:left w:val="nil"/>
              <w:bottom w:val="nil"/>
              <w:right w:val="nil"/>
            </w:tcBorders>
            <w:shd w:val="clear" w:color="auto" w:fill="auto"/>
            <w:vAlign w:val="bottom"/>
            <w:hideMark/>
          </w:tcPr>
          <w:p w:rsidR="00EB7D05" w:rsidRPr="00F31B70" w:rsidRDefault="00EB7D05" w:rsidP="00EB7D05">
            <w:pPr>
              <w:spacing w:after="0" w:line="240" w:lineRule="auto"/>
              <w:jc w:val="center"/>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FY15 (Current Year)</w:t>
            </w:r>
          </w:p>
        </w:tc>
      </w:tr>
      <w:tr w:rsidR="00EB7D05" w:rsidRPr="00F31B70" w:rsidTr="00393B10">
        <w:trPr>
          <w:trHeight w:val="315"/>
          <w:jc w:val="center"/>
        </w:trPr>
        <w:tc>
          <w:tcPr>
            <w:tcW w:w="2676" w:type="dxa"/>
            <w:tcBorders>
              <w:top w:val="single" w:sz="4" w:space="0" w:color="auto"/>
              <w:left w:val="nil"/>
              <w:bottom w:val="nil"/>
              <w:right w:val="nil"/>
            </w:tcBorders>
            <w:shd w:val="clear" w:color="auto" w:fill="auto"/>
            <w:noWrap/>
            <w:vAlign w:val="bottom"/>
            <w:hideMark/>
          </w:tcPr>
          <w:p w:rsidR="00EB7D05" w:rsidRPr="00F31B70" w:rsidRDefault="00EB7D05"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Personal Service</w:t>
            </w:r>
          </w:p>
        </w:tc>
        <w:tc>
          <w:tcPr>
            <w:tcW w:w="2597" w:type="dxa"/>
            <w:tcBorders>
              <w:top w:val="single" w:sz="4" w:space="0" w:color="auto"/>
              <w:left w:val="nil"/>
              <w:bottom w:val="nil"/>
              <w:right w:val="nil"/>
            </w:tcBorders>
            <w:shd w:val="clear" w:color="auto" w:fill="auto"/>
            <w:noWrap/>
            <w:vAlign w:val="bottom"/>
            <w:hideMark/>
          </w:tcPr>
          <w:p w:rsidR="00EB7D05" w:rsidRPr="00F31B70" w:rsidRDefault="00EB7D05"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   </w:t>
            </w:r>
          </w:p>
        </w:tc>
      </w:tr>
      <w:tr w:rsidR="00EB7D05" w:rsidRPr="00F31B70" w:rsidTr="00393B10">
        <w:trPr>
          <w:trHeight w:val="315"/>
          <w:jc w:val="center"/>
        </w:trPr>
        <w:tc>
          <w:tcPr>
            <w:tcW w:w="2676" w:type="dxa"/>
            <w:tcBorders>
              <w:top w:val="nil"/>
              <w:left w:val="nil"/>
              <w:bottom w:val="nil"/>
              <w:right w:val="nil"/>
            </w:tcBorders>
            <w:shd w:val="clear" w:color="auto" w:fill="auto"/>
            <w:noWrap/>
            <w:vAlign w:val="bottom"/>
            <w:hideMark/>
          </w:tcPr>
          <w:p w:rsidR="00EB7D05" w:rsidRPr="00F31B70" w:rsidRDefault="00EB7D05"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Materials and Service</w:t>
            </w:r>
          </w:p>
        </w:tc>
        <w:tc>
          <w:tcPr>
            <w:tcW w:w="2597" w:type="dxa"/>
            <w:tcBorders>
              <w:top w:val="nil"/>
              <w:left w:val="nil"/>
              <w:bottom w:val="nil"/>
              <w:right w:val="nil"/>
            </w:tcBorders>
            <w:shd w:val="clear" w:color="auto" w:fill="auto"/>
            <w:noWrap/>
            <w:vAlign w:val="bottom"/>
            <w:hideMark/>
          </w:tcPr>
          <w:p w:rsidR="00EB7D05" w:rsidRPr="00F31B70" w:rsidRDefault="00EB7D05" w:rsidP="00F31B7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w:t>
            </w:r>
            <w:r w:rsidR="00F31B70" w:rsidRPr="00F31B70">
              <w:rPr>
                <w:rFonts w:ascii="Times New Roman" w:eastAsia="Times New Roman" w:hAnsi="Times New Roman" w:cs="Times New Roman"/>
                <w:sz w:val="20"/>
                <w:szCs w:val="20"/>
              </w:rPr>
              <w:t xml:space="preserve">     </w:t>
            </w:r>
            <w:r w:rsidRPr="00F31B70">
              <w:rPr>
                <w:rFonts w:ascii="Times New Roman" w:eastAsia="Times New Roman" w:hAnsi="Times New Roman" w:cs="Times New Roman"/>
                <w:sz w:val="20"/>
                <w:szCs w:val="20"/>
              </w:rPr>
              <w:t xml:space="preserve">  18,800 </w:t>
            </w:r>
          </w:p>
        </w:tc>
      </w:tr>
      <w:tr w:rsidR="00EB7D05" w:rsidRPr="00F31B70" w:rsidTr="00393B10">
        <w:trPr>
          <w:trHeight w:val="315"/>
          <w:jc w:val="center"/>
        </w:trPr>
        <w:tc>
          <w:tcPr>
            <w:tcW w:w="2676" w:type="dxa"/>
            <w:tcBorders>
              <w:top w:val="nil"/>
              <w:left w:val="nil"/>
              <w:bottom w:val="nil"/>
              <w:right w:val="nil"/>
            </w:tcBorders>
            <w:shd w:val="clear" w:color="auto" w:fill="auto"/>
            <w:noWrap/>
            <w:vAlign w:val="bottom"/>
            <w:hideMark/>
          </w:tcPr>
          <w:p w:rsidR="00EB7D05" w:rsidRPr="00F31B70" w:rsidRDefault="00EB7D05"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Capital Outlay</w:t>
            </w:r>
          </w:p>
        </w:tc>
        <w:tc>
          <w:tcPr>
            <w:tcW w:w="2597" w:type="dxa"/>
            <w:tcBorders>
              <w:top w:val="nil"/>
              <w:left w:val="nil"/>
              <w:bottom w:val="nil"/>
              <w:right w:val="nil"/>
            </w:tcBorders>
            <w:shd w:val="clear" w:color="auto" w:fill="auto"/>
            <w:noWrap/>
            <w:vAlign w:val="bottom"/>
            <w:hideMark/>
          </w:tcPr>
          <w:p w:rsidR="00EB7D05" w:rsidRPr="00F31B70" w:rsidRDefault="00EB7D05" w:rsidP="00F31B7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w:t>
            </w:r>
            <w:r w:rsidR="00F31B70" w:rsidRPr="00F31B70">
              <w:rPr>
                <w:rFonts w:ascii="Times New Roman" w:eastAsia="Times New Roman" w:hAnsi="Times New Roman" w:cs="Times New Roman"/>
                <w:sz w:val="20"/>
                <w:szCs w:val="20"/>
              </w:rPr>
              <w:t xml:space="preserve">     </w:t>
            </w:r>
            <w:r w:rsidRPr="00F31B70">
              <w:rPr>
                <w:rFonts w:ascii="Times New Roman" w:eastAsia="Times New Roman" w:hAnsi="Times New Roman" w:cs="Times New Roman"/>
                <w:sz w:val="20"/>
                <w:szCs w:val="20"/>
              </w:rPr>
              <w:t xml:space="preserve">120,000 </w:t>
            </w:r>
          </w:p>
        </w:tc>
      </w:tr>
      <w:tr w:rsidR="00EB7D05" w:rsidRPr="00F31B70" w:rsidTr="00393B10">
        <w:trPr>
          <w:trHeight w:val="315"/>
          <w:jc w:val="center"/>
        </w:trPr>
        <w:tc>
          <w:tcPr>
            <w:tcW w:w="2676" w:type="dxa"/>
            <w:tcBorders>
              <w:top w:val="nil"/>
              <w:left w:val="nil"/>
              <w:bottom w:val="nil"/>
              <w:right w:val="nil"/>
            </w:tcBorders>
            <w:shd w:val="clear" w:color="auto" w:fill="auto"/>
            <w:noWrap/>
            <w:vAlign w:val="bottom"/>
            <w:hideMark/>
          </w:tcPr>
          <w:p w:rsidR="00EB7D05" w:rsidRPr="00F31B70" w:rsidRDefault="00EB7D05"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Debt Service</w:t>
            </w:r>
          </w:p>
        </w:tc>
        <w:tc>
          <w:tcPr>
            <w:tcW w:w="2597" w:type="dxa"/>
            <w:tcBorders>
              <w:top w:val="nil"/>
              <w:left w:val="nil"/>
              <w:bottom w:val="nil"/>
              <w:right w:val="nil"/>
            </w:tcBorders>
            <w:shd w:val="clear" w:color="auto" w:fill="auto"/>
            <w:noWrap/>
            <w:vAlign w:val="bottom"/>
            <w:hideMark/>
          </w:tcPr>
          <w:p w:rsidR="00EB7D05" w:rsidRPr="00F31B70" w:rsidRDefault="00EB7D05" w:rsidP="00F31B7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w:t>
            </w:r>
            <w:r w:rsidR="00F31B70" w:rsidRPr="00F31B70">
              <w:rPr>
                <w:rFonts w:ascii="Times New Roman" w:eastAsia="Times New Roman" w:hAnsi="Times New Roman" w:cs="Times New Roman"/>
                <w:sz w:val="20"/>
                <w:szCs w:val="20"/>
              </w:rPr>
              <w:t xml:space="preserve">     </w:t>
            </w:r>
            <w:r w:rsidRPr="00F31B70">
              <w:rPr>
                <w:rFonts w:ascii="Times New Roman" w:eastAsia="Times New Roman" w:hAnsi="Times New Roman" w:cs="Times New Roman"/>
                <w:sz w:val="20"/>
                <w:szCs w:val="20"/>
              </w:rPr>
              <w:t xml:space="preserve">    2,500 </w:t>
            </w:r>
          </w:p>
        </w:tc>
      </w:tr>
      <w:tr w:rsidR="00EB7D05" w:rsidRPr="00F31B70" w:rsidTr="00393B10">
        <w:trPr>
          <w:trHeight w:val="315"/>
          <w:jc w:val="center"/>
        </w:trPr>
        <w:tc>
          <w:tcPr>
            <w:tcW w:w="2676" w:type="dxa"/>
            <w:tcBorders>
              <w:top w:val="nil"/>
              <w:left w:val="nil"/>
              <w:bottom w:val="nil"/>
              <w:right w:val="nil"/>
            </w:tcBorders>
            <w:shd w:val="clear" w:color="auto" w:fill="auto"/>
            <w:noWrap/>
            <w:vAlign w:val="bottom"/>
            <w:hideMark/>
          </w:tcPr>
          <w:p w:rsidR="00EB7D05" w:rsidRPr="00F31B70" w:rsidRDefault="00EB7D05" w:rsidP="00393B10">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Contingency</w:t>
            </w:r>
          </w:p>
        </w:tc>
        <w:tc>
          <w:tcPr>
            <w:tcW w:w="2597" w:type="dxa"/>
            <w:tcBorders>
              <w:top w:val="nil"/>
              <w:left w:val="nil"/>
              <w:bottom w:val="nil"/>
              <w:right w:val="nil"/>
            </w:tcBorders>
            <w:shd w:val="clear" w:color="auto" w:fill="auto"/>
            <w:noWrap/>
            <w:vAlign w:val="bottom"/>
            <w:hideMark/>
          </w:tcPr>
          <w:p w:rsidR="00EB7D05" w:rsidRPr="00F31B70" w:rsidRDefault="00EB7D05" w:rsidP="00EB7D05">
            <w:pPr>
              <w:spacing w:after="0" w:line="240" w:lineRule="auto"/>
              <w:rPr>
                <w:rFonts w:ascii="Times New Roman" w:eastAsia="Times New Roman" w:hAnsi="Times New Roman" w:cs="Times New Roman"/>
                <w:sz w:val="20"/>
                <w:szCs w:val="20"/>
              </w:rPr>
            </w:pPr>
            <w:r w:rsidRPr="00F31B70">
              <w:rPr>
                <w:rFonts w:ascii="Times New Roman" w:eastAsia="Times New Roman" w:hAnsi="Times New Roman" w:cs="Times New Roman"/>
                <w:sz w:val="20"/>
                <w:szCs w:val="20"/>
              </w:rPr>
              <w:t xml:space="preserve"> $                               3,000</w:t>
            </w:r>
          </w:p>
        </w:tc>
      </w:tr>
      <w:tr w:rsidR="00EB7D05" w:rsidRPr="00F31B70" w:rsidTr="00393B10">
        <w:trPr>
          <w:trHeight w:val="330"/>
          <w:jc w:val="center"/>
        </w:trPr>
        <w:tc>
          <w:tcPr>
            <w:tcW w:w="2676" w:type="dxa"/>
            <w:tcBorders>
              <w:top w:val="single" w:sz="4" w:space="0" w:color="auto"/>
              <w:left w:val="nil"/>
              <w:bottom w:val="double" w:sz="6" w:space="0" w:color="auto"/>
              <w:right w:val="nil"/>
            </w:tcBorders>
            <w:shd w:val="clear" w:color="auto" w:fill="auto"/>
            <w:noWrap/>
            <w:vAlign w:val="bottom"/>
            <w:hideMark/>
          </w:tcPr>
          <w:p w:rsidR="00EB7D05" w:rsidRPr="00F31B70" w:rsidRDefault="00EB7D05" w:rsidP="00393B10">
            <w:pPr>
              <w:spacing w:after="0" w:line="240" w:lineRule="auto"/>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Total Expenditures</w:t>
            </w:r>
          </w:p>
        </w:tc>
        <w:tc>
          <w:tcPr>
            <w:tcW w:w="2597" w:type="dxa"/>
            <w:tcBorders>
              <w:top w:val="single" w:sz="4" w:space="0" w:color="auto"/>
              <w:left w:val="nil"/>
              <w:bottom w:val="double" w:sz="6" w:space="0" w:color="auto"/>
              <w:right w:val="nil"/>
            </w:tcBorders>
            <w:shd w:val="clear" w:color="auto" w:fill="auto"/>
            <w:noWrap/>
            <w:vAlign w:val="bottom"/>
            <w:hideMark/>
          </w:tcPr>
          <w:p w:rsidR="00EB7D05" w:rsidRPr="00F31B70" w:rsidRDefault="00EB7D05" w:rsidP="00F31B70">
            <w:pPr>
              <w:spacing w:after="0" w:line="240" w:lineRule="auto"/>
              <w:rPr>
                <w:rFonts w:ascii="Times New Roman" w:eastAsia="Times New Roman" w:hAnsi="Times New Roman" w:cs="Times New Roman"/>
                <w:b/>
                <w:bCs/>
                <w:sz w:val="20"/>
                <w:szCs w:val="20"/>
              </w:rPr>
            </w:pPr>
            <w:r w:rsidRPr="00F31B70">
              <w:rPr>
                <w:rFonts w:ascii="Times New Roman" w:eastAsia="Times New Roman" w:hAnsi="Times New Roman" w:cs="Times New Roman"/>
                <w:b/>
                <w:bCs/>
                <w:sz w:val="20"/>
                <w:szCs w:val="20"/>
              </w:rPr>
              <w:t xml:space="preserve"> $                   </w:t>
            </w:r>
            <w:r w:rsidR="00F31B70" w:rsidRPr="00F31B70">
              <w:rPr>
                <w:rFonts w:ascii="Times New Roman" w:eastAsia="Times New Roman" w:hAnsi="Times New Roman" w:cs="Times New Roman"/>
                <w:b/>
                <w:bCs/>
                <w:sz w:val="20"/>
                <w:szCs w:val="20"/>
              </w:rPr>
              <w:t xml:space="preserve">     </w:t>
            </w:r>
            <w:r w:rsidRPr="00F31B70">
              <w:rPr>
                <w:rFonts w:ascii="Times New Roman" w:eastAsia="Times New Roman" w:hAnsi="Times New Roman" w:cs="Times New Roman"/>
                <w:b/>
                <w:bCs/>
                <w:sz w:val="20"/>
                <w:szCs w:val="20"/>
              </w:rPr>
              <w:t xml:space="preserve">   144,300 </w:t>
            </w:r>
          </w:p>
        </w:tc>
      </w:tr>
    </w:tbl>
    <w:p w:rsidR="00EB7D05" w:rsidRDefault="00EB7D05" w:rsidP="00EB7D05">
      <w:pPr>
        <w:pStyle w:val="ListParagraph"/>
      </w:pPr>
    </w:p>
    <w:p w:rsidR="00F31B70" w:rsidRDefault="00DF3D13" w:rsidP="00A24726">
      <w:pPr>
        <w:pStyle w:val="ListParagraph"/>
        <w:numPr>
          <w:ilvl w:val="0"/>
          <w:numId w:val="1"/>
        </w:numPr>
        <w:rPr>
          <w:rFonts w:asciiTheme="majorHAnsi" w:hAnsiTheme="majorHAnsi"/>
        </w:rPr>
      </w:pPr>
      <w:r w:rsidRPr="00512988">
        <w:rPr>
          <w:rFonts w:asciiTheme="majorHAnsi" w:hAnsiTheme="majorHAnsi"/>
          <w:b/>
          <w:i/>
        </w:rPr>
        <w:t>An analysis of the impact, if any, of carrying out the urban renewal plan on the tax collections for the preceding year for all taxing districts included under ORS 457.430.</w:t>
      </w:r>
      <w:r w:rsidR="00D57501" w:rsidRPr="00512988">
        <w:rPr>
          <w:b/>
        </w:rPr>
        <w:br/>
      </w:r>
      <w:r w:rsidR="00D57501" w:rsidRPr="00512988">
        <w:rPr>
          <w:b/>
        </w:rPr>
        <w:br/>
      </w:r>
      <w:r w:rsidR="00D57501" w:rsidRPr="00D824AA">
        <w:rPr>
          <w:rFonts w:asciiTheme="majorHAnsi" w:hAnsiTheme="majorHAnsi"/>
        </w:rPr>
        <w:t>Within the City of Central Point there are a total of nine (9)</w:t>
      </w:r>
      <w:r w:rsidR="004965D4" w:rsidRPr="00D824AA">
        <w:rPr>
          <w:rFonts w:asciiTheme="majorHAnsi" w:hAnsiTheme="majorHAnsi"/>
        </w:rPr>
        <w:t xml:space="preserve"> affected</w:t>
      </w:r>
      <w:r w:rsidR="00D57501" w:rsidRPr="00D824AA">
        <w:rPr>
          <w:rFonts w:asciiTheme="majorHAnsi" w:hAnsiTheme="majorHAnsi"/>
        </w:rPr>
        <w:t xml:space="preserve"> taxing districts</w:t>
      </w:r>
      <w:r w:rsidR="00C91F65">
        <w:rPr>
          <w:rFonts w:asciiTheme="majorHAnsi" w:hAnsiTheme="majorHAnsi"/>
        </w:rPr>
        <w:t xml:space="preserve"> with a</w:t>
      </w:r>
      <w:r w:rsidR="00F31B70">
        <w:rPr>
          <w:rFonts w:asciiTheme="majorHAnsi" w:hAnsiTheme="majorHAnsi"/>
        </w:rPr>
        <w:t xml:space="preserve"> FY13-14</w:t>
      </w:r>
      <w:r w:rsidR="00C91F65">
        <w:rPr>
          <w:rFonts w:asciiTheme="majorHAnsi" w:hAnsiTheme="majorHAnsi"/>
        </w:rPr>
        <w:t xml:space="preserve"> combined tax rate of $16.5156/$1,000 of assessed value. The Urban Renewal’s base value was set in FY2012-13 at $139,787,170. The FY13-14 incremental value for the Urban Renewal Plan District was $403,858. </w:t>
      </w:r>
      <w:r w:rsidR="00D57501" w:rsidRPr="00D824AA">
        <w:rPr>
          <w:rFonts w:asciiTheme="majorHAnsi" w:hAnsiTheme="majorHAnsi"/>
        </w:rPr>
        <w:t xml:space="preserve"> During FY1</w:t>
      </w:r>
      <w:r w:rsidR="00F31B70">
        <w:rPr>
          <w:rFonts w:asciiTheme="majorHAnsi" w:hAnsiTheme="majorHAnsi"/>
        </w:rPr>
        <w:t>3</w:t>
      </w:r>
      <w:r w:rsidR="00D57501" w:rsidRPr="00D824AA">
        <w:rPr>
          <w:rFonts w:asciiTheme="majorHAnsi" w:hAnsiTheme="majorHAnsi"/>
        </w:rPr>
        <w:t>-1</w:t>
      </w:r>
      <w:r w:rsidR="00F31B70">
        <w:rPr>
          <w:rFonts w:asciiTheme="majorHAnsi" w:hAnsiTheme="majorHAnsi"/>
        </w:rPr>
        <w:t>4</w:t>
      </w:r>
      <w:r w:rsidR="00D57501" w:rsidRPr="00D824AA">
        <w:rPr>
          <w:rFonts w:asciiTheme="majorHAnsi" w:hAnsiTheme="majorHAnsi"/>
        </w:rPr>
        <w:t xml:space="preserve"> the impact of implementation of the </w:t>
      </w:r>
      <w:r w:rsidR="004965D4" w:rsidRPr="00D824AA">
        <w:rPr>
          <w:rFonts w:asciiTheme="majorHAnsi" w:hAnsiTheme="majorHAnsi"/>
        </w:rPr>
        <w:t xml:space="preserve">Urban Renewal </w:t>
      </w:r>
      <w:r w:rsidR="00D57501" w:rsidRPr="00D824AA">
        <w:rPr>
          <w:rFonts w:asciiTheme="majorHAnsi" w:hAnsiTheme="majorHAnsi"/>
        </w:rPr>
        <w:t>Plan on those taxing districts is illustrated in Table 5, both in terms of property tax dollars diverted and a percentage of total</w:t>
      </w:r>
      <w:r w:rsidR="00A05E35" w:rsidRPr="00D824AA">
        <w:rPr>
          <w:rFonts w:asciiTheme="majorHAnsi" w:hAnsiTheme="majorHAnsi"/>
        </w:rPr>
        <w:t xml:space="preserve"> property tax dollars collected for each taxing district. As illustrated in Table 5 the impact of the </w:t>
      </w:r>
      <w:r w:rsidR="007770B4">
        <w:rPr>
          <w:rFonts w:asciiTheme="majorHAnsi" w:hAnsiTheme="majorHAnsi"/>
        </w:rPr>
        <w:t xml:space="preserve">Urban Renewal </w:t>
      </w:r>
      <w:r w:rsidR="00A05E35" w:rsidRPr="00D824AA">
        <w:rPr>
          <w:rFonts w:asciiTheme="majorHAnsi" w:hAnsiTheme="majorHAnsi"/>
        </w:rPr>
        <w:t>Plan’s tax increment for FY</w:t>
      </w:r>
      <w:r w:rsidR="00621493" w:rsidRPr="00D824AA">
        <w:rPr>
          <w:rFonts w:asciiTheme="majorHAnsi" w:hAnsiTheme="majorHAnsi"/>
        </w:rPr>
        <w:t>13</w:t>
      </w:r>
      <w:r w:rsidR="00A05E35" w:rsidRPr="00D824AA">
        <w:rPr>
          <w:rFonts w:asciiTheme="majorHAnsi" w:hAnsiTheme="majorHAnsi"/>
        </w:rPr>
        <w:t>-1</w:t>
      </w:r>
      <w:r w:rsidR="00621493" w:rsidRPr="00D824AA">
        <w:rPr>
          <w:rFonts w:asciiTheme="majorHAnsi" w:hAnsiTheme="majorHAnsi"/>
        </w:rPr>
        <w:t>4</w:t>
      </w:r>
      <w:r w:rsidR="00A05E35">
        <w:t xml:space="preserve"> </w:t>
      </w:r>
      <w:r w:rsidR="00A05E35" w:rsidRPr="00D824AA">
        <w:rPr>
          <w:rFonts w:asciiTheme="majorHAnsi" w:hAnsiTheme="majorHAnsi"/>
        </w:rPr>
        <w:t xml:space="preserve">collections was </w:t>
      </w:r>
      <w:r w:rsidR="00F31B70">
        <w:rPr>
          <w:rFonts w:asciiTheme="majorHAnsi" w:hAnsiTheme="majorHAnsi"/>
        </w:rPr>
        <w:t>very</w:t>
      </w:r>
      <w:r w:rsidR="00A05E35" w:rsidRPr="00D824AA">
        <w:rPr>
          <w:rFonts w:asciiTheme="majorHAnsi" w:hAnsiTheme="majorHAnsi"/>
        </w:rPr>
        <w:t xml:space="preserve"> small</w:t>
      </w:r>
      <w:r w:rsidR="00D57501" w:rsidRPr="00D824AA">
        <w:rPr>
          <w:rFonts w:asciiTheme="majorHAnsi" w:hAnsiTheme="majorHAnsi"/>
        </w:rPr>
        <w:t xml:space="preserve"> </w:t>
      </w:r>
      <w:r w:rsidR="007770B4">
        <w:rPr>
          <w:rFonts w:asciiTheme="majorHAnsi" w:hAnsiTheme="majorHAnsi"/>
        </w:rPr>
        <w:t>($6,589</w:t>
      </w:r>
      <w:r w:rsidR="00A05E35" w:rsidRPr="00D824AA">
        <w:rPr>
          <w:rFonts w:asciiTheme="majorHAnsi" w:hAnsiTheme="majorHAnsi"/>
        </w:rPr>
        <w:t>).</w:t>
      </w:r>
      <w:r w:rsidR="007770B4">
        <w:rPr>
          <w:rFonts w:asciiTheme="majorHAnsi" w:hAnsiTheme="majorHAnsi"/>
        </w:rPr>
        <w:t xml:space="preserve"> </w:t>
      </w:r>
      <w:r w:rsidR="00512988">
        <w:rPr>
          <w:rFonts w:asciiTheme="majorHAnsi" w:hAnsiTheme="majorHAnsi"/>
        </w:rPr>
        <w:t xml:space="preserve">The most significantly impacted taxing district is the City </w:t>
      </w:r>
      <w:r w:rsidR="00F31B70">
        <w:rPr>
          <w:rFonts w:asciiTheme="majorHAnsi" w:hAnsiTheme="majorHAnsi"/>
        </w:rPr>
        <w:t>of Central Point at</w:t>
      </w:r>
      <w:r w:rsidR="00512988">
        <w:rPr>
          <w:rFonts w:asciiTheme="majorHAnsi" w:hAnsiTheme="majorHAnsi"/>
        </w:rPr>
        <w:t xml:space="preserve"> approximately 4 cents per dollar of property tax revenue collected, followed by the School District and the Fire District</w:t>
      </w:r>
      <w:r w:rsidR="00F31B70">
        <w:rPr>
          <w:rFonts w:asciiTheme="majorHAnsi" w:hAnsiTheme="majorHAnsi"/>
        </w:rPr>
        <w:t xml:space="preserve"> at approximately two cents and one cent per dollar of property tax collected</w:t>
      </w:r>
      <w:r w:rsidR="00512988">
        <w:rPr>
          <w:rFonts w:asciiTheme="majorHAnsi" w:hAnsiTheme="majorHAnsi"/>
        </w:rPr>
        <w:t>.</w:t>
      </w:r>
    </w:p>
    <w:p w:rsidR="00DF3D13" w:rsidRPr="00F31B70" w:rsidRDefault="00512988" w:rsidP="00F31B70">
      <w:pPr>
        <w:ind w:left="360"/>
        <w:rPr>
          <w:rFonts w:asciiTheme="majorHAnsi" w:hAnsiTheme="majorHAnsi"/>
        </w:rPr>
      </w:pPr>
      <w:r w:rsidRPr="00F31B70">
        <w:rPr>
          <w:rFonts w:asciiTheme="majorHAnsi" w:hAnsiTheme="majorHAnsi"/>
        </w:rPr>
        <w:t xml:space="preserve"> </w:t>
      </w:r>
    </w:p>
    <w:p w:rsidR="00F31B70" w:rsidRPr="00F31B70" w:rsidRDefault="00F31B70" w:rsidP="00F31B70">
      <w:pPr>
        <w:rPr>
          <w:rFonts w:asciiTheme="majorHAnsi" w:hAnsiTheme="majorHAnsi"/>
        </w:rPr>
      </w:pPr>
    </w:p>
    <w:p w:rsidR="007770B4" w:rsidRPr="007770B4" w:rsidRDefault="007770B4" w:rsidP="007770B4">
      <w:pPr>
        <w:pStyle w:val="Caption"/>
        <w:keepNext/>
        <w:rPr>
          <w:rFonts w:asciiTheme="majorHAnsi" w:hAnsiTheme="majorHAnsi"/>
          <w:caps/>
          <w:color w:val="auto"/>
          <w:sz w:val="22"/>
          <w:szCs w:val="22"/>
        </w:rPr>
      </w:pPr>
      <w:r w:rsidRPr="007770B4">
        <w:rPr>
          <w:rFonts w:asciiTheme="majorHAnsi" w:hAnsiTheme="majorHAnsi"/>
          <w:caps/>
          <w:color w:val="auto"/>
          <w:sz w:val="22"/>
          <w:szCs w:val="22"/>
        </w:rPr>
        <w:t xml:space="preserve">Table </w:t>
      </w:r>
      <w:r w:rsidRPr="007770B4">
        <w:rPr>
          <w:rFonts w:asciiTheme="majorHAnsi" w:hAnsiTheme="majorHAnsi"/>
          <w:caps/>
          <w:color w:val="auto"/>
          <w:sz w:val="22"/>
          <w:szCs w:val="22"/>
        </w:rPr>
        <w:fldChar w:fldCharType="begin"/>
      </w:r>
      <w:r w:rsidRPr="007770B4">
        <w:rPr>
          <w:rFonts w:asciiTheme="majorHAnsi" w:hAnsiTheme="majorHAnsi"/>
          <w:caps/>
          <w:color w:val="auto"/>
          <w:sz w:val="22"/>
          <w:szCs w:val="22"/>
        </w:rPr>
        <w:instrText xml:space="preserve"> SEQ Table \* ARABIC </w:instrText>
      </w:r>
      <w:r w:rsidRPr="007770B4">
        <w:rPr>
          <w:rFonts w:asciiTheme="majorHAnsi" w:hAnsiTheme="majorHAnsi"/>
          <w:caps/>
          <w:color w:val="auto"/>
          <w:sz w:val="22"/>
          <w:szCs w:val="22"/>
        </w:rPr>
        <w:fldChar w:fldCharType="separate"/>
      </w:r>
      <w:r w:rsidRPr="007770B4">
        <w:rPr>
          <w:rFonts w:asciiTheme="majorHAnsi" w:hAnsiTheme="majorHAnsi"/>
          <w:caps/>
          <w:noProof/>
          <w:color w:val="auto"/>
          <w:sz w:val="22"/>
          <w:szCs w:val="22"/>
        </w:rPr>
        <w:t>5</w:t>
      </w:r>
      <w:r w:rsidRPr="007770B4">
        <w:rPr>
          <w:rFonts w:asciiTheme="majorHAnsi" w:hAnsiTheme="majorHAnsi"/>
          <w:caps/>
          <w:color w:val="auto"/>
          <w:sz w:val="22"/>
          <w:szCs w:val="22"/>
        </w:rPr>
        <w:fldChar w:fldCharType="end"/>
      </w:r>
      <w:r>
        <w:rPr>
          <w:rFonts w:asciiTheme="majorHAnsi" w:hAnsiTheme="majorHAnsi"/>
          <w:caps/>
          <w:color w:val="auto"/>
          <w:sz w:val="22"/>
          <w:szCs w:val="22"/>
        </w:rPr>
        <w:t>. TAX REVENUES RECEIVED FY13-14 BY AFFECTED TAX DISTRICT</w:t>
      </w:r>
    </w:p>
    <w:tbl>
      <w:tblPr>
        <w:tblW w:w="9483" w:type="dxa"/>
        <w:tblInd w:w="93" w:type="dxa"/>
        <w:tblLook w:val="04A0" w:firstRow="1" w:lastRow="0" w:firstColumn="1" w:lastColumn="0" w:noHBand="0" w:noVBand="1"/>
      </w:tblPr>
      <w:tblGrid>
        <w:gridCol w:w="338"/>
        <w:gridCol w:w="3005"/>
        <w:gridCol w:w="2658"/>
        <w:gridCol w:w="1790"/>
        <w:gridCol w:w="1692"/>
      </w:tblGrid>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p>
        </w:tc>
        <w:tc>
          <w:tcPr>
            <w:tcW w:w="1790"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p>
        </w:tc>
      </w:tr>
      <w:tr w:rsidR="004965D4" w:rsidRPr="00F31B70" w:rsidTr="007770B4">
        <w:trPr>
          <w:trHeight w:val="945"/>
        </w:trPr>
        <w:tc>
          <w:tcPr>
            <w:tcW w:w="338" w:type="dxa"/>
            <w:tcBorders>
              <w:top w:val="nil"/>
              <w:left w:val="nil"/>
              <w:bottom w:val="single" w:sz="4" w:space="0" w:color="auto"/>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 </w:t>
            </w:r>
          </w:p>
        </w:tc>
        <w:tc>
          <w:tcPr>
            <w:tcW w:w="3005" w:type="dxa"/>
            <w:tcBorders>
              <w:top w:val="nil"/>
              <w:left w:val="nil"/>
              <w:bottom w:val="single" w:sz="4" w:space="0" w:color="auto"/>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Tax District</w:t>
            </w:r>
          </w:p>
        </w:tc>
        <w:tc>
          <w:tcPr>
            <w:tcW w:w="2658" w:type="dxa"/>
            <w:tcBorders>
              <w:top w:val="nil"/>
              <w:left w:val="nil"/>
              <w:bottom w:val="single" w:sz="4" w:space="0" w:color="auto"/>
              <w:right w:val="nil"/>
            </w:tcBorders>
            <w:shd w:val="clear" w:color="auto" w:fill="auto"/>
            <w:vAlign w:val="bottom"/>
            <w:hideMark/>
          </w:tcPr>
          <w:p w:rsidR="004965D4" w:rsidRPr="00F31B70" w:rsidRDefault="00980E3C" w:rsidP="004965D4">
            <w:pPr>
              <w:spacing w:after="0" w:line="240" w:lineRule="auto"/>
              <w:jc w:val="center"/>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 xml:space="preserve">Affected Taxing Districts </w:t>
            </w:r>
            <w:r w:rsidR="004965D4" w:rsidRPr="00F31B70">
              <w:rPr>
                <w:rFonts w:asciiTheme="majorHAnsi" w:eastAsia="Times New Roman" w:hAnsiTheme="majorHAnsi" w:cs="Times New Roman"/>
                <w:b/>
                <w:bCs/>
                <w:sz w:val="20"/>
                <w:szCs w:val="20"/>
              </w:rPr>
              <w:t>Property Taxes to be Received</w:t>
            </w:r>
          </w:p>
        </w:tc>
        <w:tc>
          <w:tcPr>
            <w:tcW w:w="1790" w:type="dxa"/>
            <w:tcBorders>
              <w:top w:val="nil"/>
              <w:left w:val="nil"/>
              <w:bottom w:val="single" w:sz="4" w:space="0" w:color="auto"/>
              <w:right w:val="nil"/>
            </w:tcBorders>
            <w:shd w:val="clear" w:color="auto" w:fill="auto"/>
            <w:vAlign w:val="bottom"/>
            <w:hideMark/>
          </w:tcPr>
          <w:p w:rsidR="004965D4" w:rsidRPr="00F31B70" w:rsidRDefault="004965D4" w:rsidP="004965D4">
            <w:pPr>
              <w:spacing w:after="0" w:line="240" w:lineRule="auto"/>
              <w:jc w:val="center"/>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Property Taxes Diverted to Urban Renewal</w:t>
            </w:r>
          </w:p>
        </w:tc>
        <w:tc>
          <w:tcPr>
            <w:tcW w:w="1692" w:type="dxa"/>
            <w:tcBorders>
              <w:top w:val="nil"/>
              <w:left w:val="nil"/>
              <w:bottom w:val="single" w:sz="4" w:space="0" w:color="auto"/>
              <w:right w:val="nil"/>
            </w:tcBorders>
            <w:shd w:val="clear" w:color="auto" w:fill="auto"/>
            <w:vAlign w:val="bottom"/>
            <w:hideMark/>
          </w:tcPr>
          <w:p w:rsidR="004965D4" w:rsidRPr="00F31B70" w:rsidRDefault="004965D4" w:rsidP="004965D4">
            <w:pPr>
              <w:spacing w:after="0" w:line="240" w:lineRule="auto"/>
              <w:jc w:val="center"/>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 xml:space="preserve">Percentage of </w:t>
            </w:r>
            <w:r w:rsidR="00980E3C" w:rsidRPr="00F31B70">
              <w:rPr>
                <w:rFonts w:asciiTheme="majorHAnsi" w:eastAsia="Times New Roman" w:hAnsiTheme="majorHAnsi" w:cs="Times New Roman"/>
                <w:b/>
                <w:bCs/>
                <w:sz w:val="20"/>
                <w:szCs w:val="20"/>
              </w:rPr>
              <w:t xml:space="preserve">Total </w:t>
            </w:r>
            <w:r w:rsidRPr="00F31B70">
              <w:rPr>
                <w:rFonts w:asciiTheme="majorHAnsi" w:eastAsia="Times New Roman" w:hAnsiTheme="majorHAnsi" w:cs="Times New Roman"/>
                <w:b/>
                <w:bCs/>
                <w:sz w:val="20"/>
                <w:szCs w:val="20"/>
              </w:rPr>
              <w:t>Property Taxes</w:t>
            </w:r>
            <w:r w:rsidR="00980E3C" w:rsidRPr="00F31B70">
              <w:rPr>
                <w:rFonts w:asciiTheme="majorHAnsi" w:eastAsia="Times New Roman" w:hAnsiTheme="majorHAnsi" w:cs="Times New Roman"/>
                <w:b/>
                <w:bCs/>
                <w:sz w:val="20"/>
                <w:szCs w:val="20"/>
              </w:rPr>
              <w:t xml:space="preserve"> </w:t>
            </w:r>
          </w:p>
        </w:tc>
      </w:tr>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1</w:t>
            </w: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City of Central Point</w:t>
            </w: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          4,610,815.16 </w:t>
            </w:r>
          </w:p>
        </w:tc>
        <w:tc>
          <w:tcPr>
            <w:tcW w:w="1790" w:type="dxa"/>
            <w:tcBorders>
              <w:top w:val="nil"/>
              <w:left w:val="nil"/>
              <w:bottom w:val="nil"/>
              <w:right w:val="nil"/>
            </w:tcBorders>
            <w:shd w:val="clear" w:color="auto" w:fill="auto"/>
            <w:noWrap/>
            <w:vAlign w:val="bottom"/>
            <w:hideMark/>
          </w:tcPr>
          <w:p w:rsidR="004965D4" w:rsidRPr="00F31B70" w:rsidRDefault="004965D4" w:rsidP="00D4532A">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w:t>
            </w:r>
            <w:r w:rsidR="00D4532A" w:rsidRPr="00F31B70">
              <w:rPr>
                <w:rFonts w:asciiTheme="majorHAnsi" w:eastAsia="Times New Roman" w:hAnsiTheme="majorHAnsi" w:cs="Times New Roman"/>
                <w:sz w:val="20"/>
                <w:szCs w:val="20"/>
              </w:rPr>
              <w:t xml:space="preserve">   </w:t>
            </w:r>
            <w:r w:rsidRPr="00F31B70">
              <w:rPr>
                <w:rFonts w:asciiTheme="majorHAnsi" w:eastAsia="Times New Roman" w:hAnsiTheme="majorHAnsi" w:cs="Times New Roman"/>
                <w:sz w:val="20"/>
                <w:szCs w:val="20"/>
              </w:rPr>
              <w:t xml:space="preserve"> 1,794.45 </w:t>
            </w: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0.039%</w:t>
            </w:r>
          </w:p>
        </w:tc>
      </w:tr>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2</w:t>
            </w: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Jackson County</w:t>
            </w: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        33,713,884.10 </w:t>
            </w:r>
          </w:p>
        </w:tc>
        <w:tc>
          <w:tcPr>
            <w:tcW w:w="1790"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869.19 </w:t>
            </w: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0.003%</w:t>
            </w:r>
          </w:p>
        </w:tc>
      </w:tr>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3</w:t>
            </w: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Fire District No. 3</w:t>
            </w: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        11,424,300.44 </w:t>
            </w:r>
            <w:r w:rsidR="00D824AA" w:rsidRPr="00F31B70">
              <w:rPr>
                <w:rFonts w:asciiTheme="majorHAnsi" w:eastAsia="Times New Roman" w:hAnsiTheme="majorHAnsi" w:cs="Times New Roman"/>
                <w:sz w:val="20"/>
                <w:szCs w:val="20"/>
              </w:rPr>
              <w:t xml:space="preserve">    </w:t>
            </w:r>
          </w:p>
        </w:tc>
        <w:tc>
          <w:tcPr>
            <w:tcW w:w="1790" w:type="dxa"/>
            <w:tcBorders>
              <w:top w:val="nil"/>
              <w:left w:val="nil"/>
              <w:bottom w:val="nil"/>
              <w:right w:val="nil"/>
            </w:tcBorders>
            <w:shd w:val="clear" w:color="auto" w:fill="auto"/>
            <w:noWrap/>
            <w:vAlign w:val="bottom"/>
            <w:hideMark/>
          </w:tcPr>
          <w:p w:rsidR="004965D4" w:rsidRPr="00F31B70" w:rsidRDefault="004965D4" w:rsidP="00D824AA">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w:t>
            </w:r>
            <w:r w:rsidR="00D824AA" w:rsidRPr="00F31B70">
              <w:rPr>
                <w:rFonts w:asciiTheme="majorHAnsi" w:eastAsia="Times New Roman" w:hAnsiTheme="majorHAnsi" w:cs="Times New Roman"/>
                <w:sz w:val="20"/>
                <w:szCs w:val="20"/>
              </w:rPr>
              <w:t xml:space="preserve">        </w:t>
            </w:r>
            <w:r w:rsidRPr="00F31B70">
              <w:rPr>
                <w:rFonts w:asciiTheme="majorHAnsi" w:eastAsia="Times New Roman" w:hAnsiTheme="majorHAnsi" w:cs="Times New Roman"/>
                <w:sz w:val="20"/>
                <w:szCs w:val="20"/>
              </w:rPr>
              <w:t>1,247.70</w:t>
            </w: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0.011%</w:t>
            </w:r>
          </w:p>
        </w:tc>
      </w:tr>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4</w:t>
            </w: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RVTD</w:t>
            </w: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          2,229,342.92 </w:t>
            </w:r>
          </w:p>
        </w:tc>
        <w:tc>
          <w:tcPr>
            <w:tcW w:w="1790"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70.10 </w:t>
            </w: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0.003%</w:t>
            </w:r>
          </w:p>
        </w:tc>
      </w:tr>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5</w:t>
            </w: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Vector Control</w:t>
            </w: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             716,070.51 </w:t>
            </w:r>
          </w:p>
        </w:tc>
        <w:tc>
          <w:tcPr>
            <w:tcW w:w="1790"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14.02 </w:t>
            </w: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0.002%</w:t>
            </w:r>
          </w:p>
        </w:tc>
      </w:tr>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6</w:t>
            </w: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Water Conservation</w:t>
            </w: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             834,167.81 </w:t>
            </w:r>
          </w:p>
        </w:tc>
        <w:tc>
          <w:tcPr>
            <w:tcW w:w="1790"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14.02 </w:t>
            </w: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0.002%</w:t>
            </w:r>
          </w:p>
        </w:tc>
      </w:tr>
      <w:tr w:rsidR="004965D4" w:rsidRPr="00F31B70" w:rsidTr="007770B4">
        <w:trPr>
          <w:trHeight w:val="330"/>
        </w:trPr>
        <w:tc>
          <w:tcPr>
            <w:tcW w:w="3343" w:type="dxa"/>
            <w:gridSpan w:val="2"/>
            <w:tcBorders>
              <w:top w:val="single" w:sz="4" w:space="0" w:color="auto"/>
              <w:left w:val="nil"/>
              <w:bottom w:val="double" w:sz="6" w:space="0" w:color="auto"/>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TOTAL LOCAL GOVERNMENT</w:t>
            </w:r>
          </w:p>
        </w:tc>
        <w:tc>
          <w:tcPr>
            <w:tcW w:w="2658" w:type="dxa"/>
            <w:tcBorders>
              <w:top w:val="single" w:sz="4" w:space="0" w:color="auto"/>
              <w:left w:val="nil"/>
              <w:bottom w:val="double" w:sz="6" w:space="0" w:color="auto"/>
              <w:right w:val="nil"/>
            </w:tcBorders>
            <w:shd w:val="clear" w:color="000000" w:fill="BFBFBF"/>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 xml:space="preserve"> $     53,528,580.94 </w:t>
            </w:r>
          </w:p>
        </w:tc>
        <w:tc>
          <w:tcPr>
            <w:tcW w:w="1790" w:type="dxa"/>
            <w:tcBorders>
              <w:top w:val="single" w:sz="4" w:space="0" w:color="auto"/>
              <w:left w:val="nil"/>
              <w:bottom w:val="double" w:sz="6" w:space="0" w:color="auto"/>
              <w:right w:val="nil"/>
            </w:tcBorders>
            <w:shd w:val="clear" w:color="000000" w:fill="BFBFBF"/>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 xml:space="preserve">              4,009.48 </w:t>
            </w:r>
          </w:p>
        </w:tc>
        <w:tc>
          <w:tcPr>
            <w:tcW w:w="1692" w:type="dxa"/>
            <w:tcBorders>
              <w:top w:val="single" w:sz="4" w:space="0" w:color="auto"/>
              <w:left w:val="nil"/>
              <w:bottom w:val="double" w:sz="6" w:space="0" w:color="auto"/>
              <w:right w:val="nil"/>
            </w:tcBorders>
            <w:shd w:val="clear" w:color="000000" w:fill="BFBFBF"/>
            <w:noWrap/>
            <w:vAlign w:val="bottom"/>
            <w:hideMark/>
          </w:tcPr>
          <w:p w:rsidR="004965D4" w:rsidRPr="00F31B70" w:rsidRDefault="004965D4" w:rsidP="004965D4">
            <w:pPr>
              <w:spacing w:after="0" w:line="240" w:lineRule="auto"/>
              <w:jc w:val="right"/>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0.007%</w:t>
            </w:r>
          </w:p>
        </w:tc>
      </w:tr>
      <w:tr w:rsidR="004965D4" w:rsidRPr="00F31B70" w:rsidTr="007770B4">
        <w:trPr>
          <w:trHeight w:val="330"/>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p>
        </w:tc>
        <w:tc>
          <w:tcPr>
            <w:tcW w:w="1790"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p>
        </w:tc>
      </w:tr>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7</w:t>
            </w: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School District No. 6</w:t>
            </w: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          9,586,889.42 </w:t>
            </w:r>
          </w:p>
        </w:tc>
        <w:tc>
          <w:tcPr>
            <w:tcW w:w="1790" w:type="dxa"/>
            <w:tcBorders>
              <w:top w:val="nil"/>
              <w:left w:val="nil"/>
              <w:bottom w:val="nil"/>
              <w:right w:val="nil"/>
            </w:tcBorders>
            <w:shd w:val="clear" w:color="auto" w:fill="auto"/>
            <w:noWrap/>
            <w:vAlign w:val="bottom"/>
            <w:hideMark/>
          </w:tcPr>
          <w:p w:rsidR="004965D4" w:rsidRPr="00F31B70" w:rsidRDefault="004965D4" w:rsidP="00D824AA">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2,243.05 </w:t>
            </w: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0.023%</w:t>
            </w:r>
          </w:p>
        </w:tc>
      </w:tr>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8</w:t>
            </w: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RCC</w:t>
            </w: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          8,433,019.66 </w:t>
            </w:r>
          </w:p>
        </w:tc>
        <w:tc>
          <w:tcPr>
            <w:tcW w:w="1790"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196.27 </w:t>
            </w: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0.002%</w:t>
            </w:r>
          </w:p>
        </w:tc>
      </w:tr>
      <w:tr w:rsidR="004965D4" w:rsidRPr="00F31B70" w:rsidTr="007770B4">
        <w:trPr>
          <w:trHeight w:val="315"/>
        </w:trPr>
        <w:tc>
          <w:tcPr>
            <w:tcW w:w="33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center"/>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9</w:t>
            </w:r>
          </w:p>
        </w:tc>
        <w:tc>
          <w:tcPr>
            <w:tcW w:w="3005"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ESD</w:t>
            </w:r>
          </w:p>
        </w:tc>
        <w:tc>
          <w:tcPr>
            <w:tcW w:w="2658"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          5,795,215.78 </w:t>
            </w:r>
          </w:p>
        </w:tc>
        <w:tc>
          <w:tcPr>
            <w:tcW w:w="1790"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 xml:space="preserve">                  140.19 </w:t>
            </w:r>
          </w:p>
        </w:tc>
        <w:tc>
          <w:tcPr>
            <w:tcW w:w="1692" w:type="dxa"/>
            <w:tcBorders>
              <w:top w:val="nil"/>
              <w:left w:val="nil"/>
              <w:bottom w:val="nil"/>
              <w:right w:val="nil"/>
            </w:tcBorders>
            <w:shd w:val="clear" w:color="auto" w:fill="auto"/>
            <w:noWrap/>
            <w:vAlign w:val="bottom"/>
            <w:hideMark/>
          </w:tcPr>
          <w:p w:rsidR="004965D4" w:rsidRPr="00F31B70" w:rsidRDefault="004965D4" w:rsidP="004965D4">
            <w:pPr>
              <w:spacing w:after="0" w:line="240" w:lineRule="auto"/>
              <w:jc w:val="right"/>
              <w:rPr>
                <w:rFonts w:asciiTheme="majorHAnsi" w:eastAsia="Times New Roman" w:hAnsiTheme="majorHAnsi" w:cs="Times New Roman"/>
                <w:sz w:val="20"/>
                <w:szCs w:val="20"/>
              </w:rPr>
            </w:pPr>
            <w:r w:rsidRPr="00F31B70">
              <w:rPr>
                <w:rFonts w:asciiTheme="majorHAnsi" w:eastAsia="Times New Roman" w:hAnsiTheme="majorHAnsi" w:cs="Times New Roman"/>
                <w:sz w:val="20"/>
                <w:szCs w:val="20"/>
              </w:rPr>
              <w:t>0.002%</w:t>
            </w:r>
          </w:p>
        </w:tc>
      </w:tr>
      <w:tr w:rsidR="004965D4" w:rsidRPr="00F31B70" w:rsidTr="007770B4">
        <w:trPr>
          <w:trHeight w:val="315"/>
        </w:trPr>
        <w:tc>
          <w:tcPr>
            <w:tcW w:w="3343" w:type="dxa"/>
            <w:gridSpan w:val="2"/>
            <w:tcBorders>
              <w:top w:val="single" w:sz="4" w:space="0" w:color="auto"/>
              <w:left w:val="nil"/>
              <w:bottom w:val="single" w:sz="4" w:space="0" w:color="auto"/>
              <w:right w:val="nil"/>
            </w:tcBorders>
            <w:shd w:val="clear" w:color="auto" w:fill="auto"/>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TOTAL SCHOOLS</w:t>
            </w:r>
          </w:p>
        </w:tc>
        <w:tc>
          <w:tcPr>
            <w:tcW w:w="2658" w:type="dxa"/>
            <w:tcBorders>
              <w:top w:val="single" w:sz="4" w:space="0" w:color="auto"/>
              <w:left w:val="nil"/>
              <w:bottom w:val="single" w:sz="4" w:space="0" w:color="auto"/>
              <w:right w:val="nil"/>
            </w:tcBorders>
            <w:shd w:val="clear" w:color="000000" w:fill="BFBFBF"/>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 xml:space="preserve"> $     23,815,124.86 </w:t>
            </w:r>
          </w:p>
        </w:tc>
        <w:tc>
          <w:tcPr>
            <w:tcW w:w="1790" w:type="dxa"/>
            <w:tcBorders>
              <w:top w:val="single" w:sz="4" w:space="0" w:color="auto"/>
              <w:left w:val="nil"/>
              <w:bottom w:val="single" w:sz="4" w:space="0" w:color="auto"/>
              <w:right w:val="nil"/>
            </w:tcBorders>
            <w:shd w:val="clear" w:color="000000" w:fill="BFBFBF"/>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 xml:space="preserve">              2,579.51 </w:t>
            </w:r>
          </w:p>
        </w:tc>
        <w:tc>
          <w:tcPr>
            <w:tcW w:w="1692" w:type="dxa"/>
            <w:tcBorders>
              <w:top w:val="single" w:sz="4" w:space="0" w:color="auto"/>
              <w:left w:val="nil"/>
              <w:bottom w:val="single" w:sz="4" w:space="0" w:color="auto"/>
              <w:right w:val="nil"/>
            </w:tcBorders>
            <w:shd w:val="clear" w:color="000000" w:fill="BFBFBF"/>
            <w:noWrap/>
            <w:vAlign w:val="bottom"/>
            <w:hideMark/>
          </w:tcPr>
          <w:p w:rsidR="004965D4" w:rsidRPr="00F31B70" w:rsidRDefault="004965D4" w:rsidP="004965D4">
            <w:pPr>
              <w:spacing w:after="0" w:line="240" w:lineRule="auto"/>
              <w:jc w:val="right"/>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0.011%</w:t>
            </w:r>
          </w:p>
        </w:tc>
      </w:tr>
      <w:tr w:rsidR="004965D4" w:rsidRPr="00F31B70" w:rsidTr="007770B4">
        <w:trPr>
          <w:trHeight w:val="330"/>
        </w:trPr>
        <w:tc>
          <w:tcPr>
            <w:tcW w:w="3343" w:type="dxa"/>
            <w:gridSpan w:val="2"/>
            <w:tcBorders>
              <w:top w:val="single" w:sz="4" w:space="0" w:color="auto"/>
              <w:left w:val="nil"/>
              <w:bottom w:val="double" w:sz="6" w:space="0" w:color="auto"/>
              <w:right w:val="nil"/>
            </w:tcBorders>
            <w:shd w:val="clear" w:color="auto" w:fill="auto"/>
            <w:noWrap/>
            <w:vAlign w:val="bottom"/>
            <w:hideMark/>
          </w:tcPr>
          <w:p w:rsidR="004965D4" w:rsidRPr="00F31B70" w:rsidRDefault="00D824AA" w:rsidP="00D824AA">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GRAND TOTAL</w:t>
            </w:r>
          </w:p>
        </w:tc>
        <w:tc>
          <w:tcPr>
            <w:tcW w:w="2658" w:type="dxa"/>
            <w:tcBorders>
              <w:top w:val="nil"/>
              <w:left w:val="nil"/>
              <w:bottom w:val="double" w:sz="6" w:space="0" w:color="auto"/>
              <w:right w:val="nil"/>
            </w:tcBorders>
            <w:shd w:val="clear" w:color="000000" w:fill="BFBFBF"/>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 xml:space="preserve"> $     77,343,705.80 </w:t>
            </w:r>
          </w:p>
        </w:tc>
        <w:tc>
          <w:tcPr>
            <w:tcW w:w="1790" w:type="dxa"/>
            <w:tcBorders>
              <w:top w:val="nil"/>
              <w:left w:val="nil"/>
              <w:bottom w:val="double" w:sz="6" w:space="0" w:color="auto"/>
              <w:right w:val="nil"/>
            </w:tcBorders>
            <w:shd w:val="clear" w:color="000000" w:fill="BFBFBF"/>
            <w:noWrap/>
            <w:vAlign w:val="bottom"/>
            <w:hideMark/>
          </w:tcPr>
          <w:p w:rsidR="004965D4" w:rsidRPr="00F31B70" w:rsidRDefault="004965D4" w:rsidP="004965D4">
            <w:pPr>
              <w:spacing w:after="0" w:line="240" w:lineRule="auto"/>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 xml:space="preserve">              6,589.00 </w:t>
            </w:r>
          </w:p>
        </w:tc>
        <w:tc>
          <w:tcPr>
            <w:tcW w:w="1692" w:type="dxa"/>
            <w:tcBorders>
              <w:top w:val="nil"/>
              <w:left w:val="nil"/>
              <w:bottom w:val="double" w:sz="6" w:space="0" w:color="auto"/>
              <w:right w:val="nil"/>
            </w:tcBorders>
            <w:shd w:val="clear" w:color="000000" w:fill="BFBFBF"/>
            <w:noWrap/>
            <w:vAlign w:val="bottom"/>
            <w:hideMark/>
          </w:tcPr>
          <w:p w:rsidR="004965D4" w:rsidRPr="00F31B70" w:rsidRDefault="004965D4" w:rsidP="004965D4">
            <w:pPr>
              <w:spacing w:after="0" w:line="240" w:lineRule="auto"/>
              <w:jc w:val="right"/>
              <w:rPr>
                <w:rFonts w:asciiTheme="majorHAnsi" w:eastAsia="Times New Roman" w:hAnsiTheme="majorHAnsi" w:cs="Times New Roman"/>
                <w:b/>
                <w:bCs/>
                <w:sz w:val="20"/>
                <w:szCs w:val="20"/>
              </w:rPr>
            </w:pPr>
            <w:r w:rsidRPr="00F31B70">
              <w:rPr>
                <w:rFonts w:asciiTheme="majorHAnsi" w:eastAsia="Times New Roman" w:hAnsiTheme="majorHAnsi" w:cs="Times New Roman"/>
                <w:b/>
                <w:bCs/>
                <w:sz w:val="20"/>
                <w:szCs w:val="20"/>
              </w:rPr>
              <w:t>0.009%</w:t>
            </w:r>
          </w:p>
        </w:tc>
      </w:tr>
    </w:tbl>
    <w:p w:rsidR="004965D4" w:rsidRDefault="004965D4" w:rsidP="004965D4"/>
    <w:p w:rsidR="00501520" w:rsidRDefault="00501520" w:rsidP="00501520">
      <w:r>
        <w:t xml:space="preserve"> </w:t>
      </w:r>
    </w:p>
    <w:sectPr w:rsidR="0050152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32" w:rsidRDefault="00FB0A32" w:rsidP="0059761C">
      <w:pPr>
        <w:spacing w:after="0" w:line="240" w:lineRule="auto"/>
      </w:pPr>
      <w:r>
        <w:separator/>
      </w:r>
    </w:p>
  </w:endnote>
  <w:endnote w:type="continuationSeparator" w:id="0">
    <w:p w:rsidR="00FB0A32" w:rsidRDefault="00FB0A32" w:rsidP="0059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5985000"/>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59761C" w:rsidRPr="0059761C" w:rsidRDefault="0059761C">
            <w:pPr>
              <w:pStyle w:val="Footer"/>
              <w:jc w:val="right"/>
              <w:rPr>
                <w:sz w:val="16"/>
                <w:szCs w:val="16"/>
              </w:rPr>
            </w:pPr>
            <w:r w:rsidRPr="0059761C">
              <w:rPr>
                <w:sz w:val="16"/>
                <w:szCs w:val="16"/>
              </w:rPr>
              <w:t xml:space="preserve">Page </w:t>
            </w:r>
            <w:r w:rsidRPr="0059761C">
              <w:rPr>
                <w:b/>
                <w:bCs/>
                <w:sz w:val="16"/>
                <w:szCs w:val="16"/>
              </w:rPr>
              <w:fldChar w:fldCharType="begin"/>
            </w:r>
            <w:r w:rsidRPr="0059761C">
              <w:rPr>
                <w:b/>
                <w:bCs/>
                <w:sz w:val="16"/>
                <w:szCs w:val="16"/>
              </w:rPr>
              <w:instrText xml:space="preserve"> PAGE </w:instrText>
            </w:r>
            <w:r w:rsidRPr="0059761C">
              <w:rPr>
                <w:b/>
                <w:bCs/>
                <w:sz w:val="16"/>
                <w:szCs w:val="16"/>
              </w:rPr>
              <w:fldChar w:fldCharType="separate"/>
            </w:r>
            <w:r w:rsidR="0075484A">
              <w:rPr>
                <w:b/>
                <w:bCs/>
                <w:noProof/>
                <w:sz w:val="16"/>
                <w:szCs w:val="16"/>
              </w:rPr>
              <w:t>4</w:t>
            </w:r>
            <w:r w:rsidRPr="0059761C">
              <w:rPr>
                <w:b/>
                <w:bCs/>
                <w:sz w:val="16"/>
                <w:szCs w:val="16"/>
              </w:rPr>
              <w:fldChar w:fldCharType="end"/>
            </w:r>
            <w:r w:rsidRPr="0059761C">
              <w:rPr>
                <w:sz w:val="16"/>
                <w:szCs w:val="16"/>
              </w:rPr>
              <w:t xml:space="preserve"> of </w:t>
            </w:r>
            <w:r w:rsidRPr="0059761C">
              <w:rPr>
                <w:b/>
                <w:bCs/>
                <w:sz w:val="16"/>
                <w:szCs w:val="16"/>
              </w:rPr>
              <w:fldChar w:fldCharType="begin"/>
            </w:r>
            <w:r w:rsidRPr="0059761C">
              <w:rPr>
                <w:b/>
                <w:bCs/>
                <w:sz w:val="16"/>
                <w:szCs w:val="16"/>
              </w:rPr>
              <w:instrText xml:space="preserve"> NUMPAGES  </w:instrText>
            </w:r>
            <w:r w:rsidRPr="0059761C">
              <w:rPr>
                <w:b/>
                <w:bCs/>
                <w:sz w:val="16"/>
                <w:szCs w:val="16"/>
              </w:rPr>
              <w:fldChar w:fldCharType="separate"/>
            </w:r>
            <w:r w:rsidR="0075484A">
              <w:rPr>
                <w:b/>
                <w:bCs/>
                <w:noProof/>
                <w:sz w:val="16"/>
                <w:szCs w:val="16"/>
              </w:rPr>
              <w:t>4</w:t>
            </w:r>
            <w:r w:rsidRPr="0059761C">
              <w:rPr>
                <w:b/>
                <w:bCs/>
                <w:sz w:val="16"/>
                <w:szCs w:val="16"/>
              </w:rPr>
              <w:fldChar w:fldCharType="end"/>
            </w:r>
          </w:p>
        </w:sdtContent>
      </w:sdt>
    </w:sdtContent>
  </w:sdt>
  <w:p w:rsidR="0059761C" w:rsidRDefault="00597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32" w:rsidRDefault="00FB0A32" w:rsidP="0059761C">
      <w:pPr>
        <w:spacing w:after="0" w:line="240" w:lineRule="auto"/>
      </w:pPr>
      <w:r>
        <w:separator/>
      </w:r>
    </w:p>
  </w:footnote>
  <w:footnote w:type="continuationSeparator" w:id="0">
    <w:p w:rsidR="00FB0A32" w:rsidRDefault="00FB0A32" w:rsidP="0059761C">
      <w:pPr>
        <w:spacing w:after="0" w:line="240" w:lineRule="auto"/>
      </w:pPr>
      <w:r>
        <w:continuationSeparator/>
      </w:r>
    </w:p>
  </w:footnote>
  <w:footnote w:id="1">
    <w:p w:rsidR="00E349BC" w:rsidRDefault="00E349BC">
      <w:pPr>
        <w:pStyle w:val="FootnoteText"/>
      </w:pPr>
      <w:r>
        <w:rPr>
          <w:rStyle w:val="FootnoteReference"/>
        </w:rPr>
        <w:footnoteRef/>
      </w:r>
      <w:r>
        <w:t xml:space="preserve"> </w:t>
      </w:r>
      <w:r w:rsidR="00F31B70">
        <w:t>The FY14-15 Beginning Fund Balance was estimated and not based on actual expenditures.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E5F69"/>
    <w:multiLevelType w:val="hybridMultilevel"/>
    <w:tmpl w:val="9F54D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20"/>
    <w:rsid w:val="000C3E08"/>
    <w:rsid w:val="000C4445"/>
    <w:rsid w:val="000E508A"/>
    <w:rsid w:val="000F56B1"/>
    <w:rsid w:val="00165ABB"/>
    <w:rsid w:val="00175C6C"/>
    <w:rsid w:val="002A3595"/>
    <w:rsid w:val="002C0269"/>
    <w:rsid w:val="002C5783"/>
    <w:rsid w:val="002E0D7D"/>
    <w:rsid w:val="00392C4D"/>
    <w:rsid w:val="003C1B81"/>
    <w:rsid w:val="003C3262"/>
    <w:rsid w:val="003F037A"/>
    <w:rsid w:val="003F28EC"/>
    <w:rsid w:val="0047361A"/>
    <w:rsid w:val="004965D4"/>
    <w:rsid w:val="00501520"/>
    <w:rsid w:val="00512988"/>
    <w:rsid w:val="00581E01"/>
    <w:rsid w:val="0059761C"/>
    <w:rsid w:val="00621493"/>
    <w:rsid w:val="00702D46"/>
    <w:rsid w:val="0071356A"/>
    <w:rsid w:val="0075484A"/>
    <w:rsid w:val="007770B4"/>
    <w:rsid w:val="007850A3"/>
    <w:rsid w:val="007B38D6"/>
    <w:rsid w:val="007D2118"/>
    <w:rsid w:val="008425F9"/>
    <w:rsid w:val="00980E3C"/>
    <w:rsid w:val="00A05E35"/>
    <w:rsid w:val="00A24726"/>
    <w:rsid w:val="00C334F1"/>
    <w:rsid w:val="00C91F65"/>
    <w:rsid w:val="00D4532A"/>
    <w:rsid w:val="00D57501"/>
    <w:rsid w:val="00D81327"/>
    <w:rsid w:val="00D824AA"/>
    <w:rsid w:val="00DB2917"/>
    <w:rsid w:val="00DB32C6"/>
    <w:rsid w:val="00DB4AA6"/>
    <w:rsid w:val="00DF3D13"/>
    <w:rsid w:val="00E349BC"/>
    <w:rsid w:val="00EB7D05"/>
    <w:rsid w:val="00F31B70"/>
    <w:rsid w:val="00F65499"/>
    <w:rsid w:val="00F81122"/>
    <w:rsid w:val="00FB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520"/>
    <w:pPr>
      <w:ind w:left="720"/>
      <w:contextualSpacing/>
    </w:pPr>
  </w:style>
  <w:style w:type="table" w:styleId="TableGrid">
    <w:name w:val="Table Grid"/>
    <w:basedOn w:val="TableNormal"/>
    <w:uiPriority w:val="59"/>
    <w:rsid w:val="00621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4D"/>
    <w:rPr>
      <w:rFonts w:ascii="Tahoma" w:hAnsi="Tahoma" w:cs="Tahoma"/>
      <w:sz w:val="16"/>
      <w:szCs w:val="16"/>
    </w:rPr>
  </w:style>
  <w:style w:type="paragraph" w:styleId="Caption">
    <w:name w:val="caption"/>
    <w:basedOn w:val="Normal"/>
    <w:next w:val="Normal"/>
    <w:uiPriority w:val="35"/>
    <w:unhideWhenUsed/>
    <w:qFormat/>
    <w:rsid w:val="00D824AA"/>
    <w:pPr>
      <w:spacing w:line="240" w:lineRule="auto"/>
    </w:pPr>
    <w:rPr>
      <w:b/>
      <w:bCs/>
      <w:color w:val="4F81BD" w:themeColor="accent1"/>
      <w:sz w:val="18"/>
      <w:szCs w:val="18"/>
    </w:rPr>
  </w:style>
  <w:style w:type="paragraph" w:styleId="Header">
    <w:name w:val="header"/>
    <w:basedOn w:val="Normal"/>
    <w:link w:val="HeaderChar"/>
    <w:uiPriority w:val="99"/>
    <w:unhideWhenUsed/>
    <w:rsid w:val="00597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61C"/>
  </w:style>
  <w:style w:type="paragraph" w:styleId="Footer">
    <w:name w:val="footer"/>
    <w:basedOn w:val="Normal"/>
    <w:link w:val="FooterChar"/>
    <w:uiPriority w:val="99"/>
    <w:unhideWhenUsed/>
    <w:rsid w:val="00597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61C"/>
  </w:style>
  <w:style w:type="paragraph" w:styleId="FootnoteText">
    <w:name w:val="footnote text"/>
    <w:basedOn w:val="Normal"/>
    <w:link w:val="FootnoteTextChar"/>
    <w:uiPriority w:val="99"/>
    <w:semiHidden/>
    <w:unhideWhenUsed/>
    <w:rsid w:val="00E349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9BC"/>
    <w:rPr>
      <w:sz w:val="20"/>
      <w:szCs w:val="20"/>
    </w:rPr>
  </w:style>
  <w:style w:type="character" w:styleId="FootnoteReference">
    <w:name w:val="footnote reference"/>
    <w:basedOn w:val="DefaultParagraphFont"/>
    <w:uiPriority w:val="99"/>
    <w:semiHidden/>
    <w:unhideWhenUsed/>
    <w:rsid w:val="00E349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520"/>
    <w:pPr>
      <w:ind w:left="720"/>
      <w:contextualSpacing/>
    </w:pPr>
  </w:style>
  <w:style w:type="table" w:styleId="TableGrid">
    <w:name w:val="Table Grid"/>
    <w:basedOn w:val="TableNormal"/>
    <w:uiPriority w:val="59"/>
    <w:rsid w:val="00621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4D"/>
    <w:rPr>
      <w:rFonts w:ascii="Tahoma" w:hAnsi="Tahoma" w:cs="Tahoma"/>
      <w:sz w:val="16"/>
      <w:szCs w:val="16"/>
    </w:rPr>
  </w:style>
  <w:style w:type="paragraph" w:styleId="Caption">
    <w:name w:val="caption"/>
    <w:basedOn w:val="Normal"/>
    <w:next w:val="Normal"/>
    <w:uiPriority w:val="35"/>
    <w:unhideWhenUsed/>
    <w:qFormat/>
    <w:rsid w:val="00D824AA"/>
    <w:pPr>
      <w:spacing w:line="240" w:lineRule="auto"/>
    </w:pPr>
    <w:rPr>
      <w:b/>
      <w:bCs/>
      <w:color w:val="4F81BD" w:themeColor="accent1"/>
      <w:sz w:val="18"/>
      <w:szCs w:val="18"/>
    </w:rPr>
  </w:style>
  <w:style w:type="paragraph" w:styleId="Header">
    <w:name w:val="header"/>
    <w:basedOn w:val="Normal"/>
    <w:link w:val="HeaderChar"/>
    <w:uiPriority w:val="99"/>
    <w:unhideWhenUsed/>
    <w:rsid w:val="00597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61C"/>
  </w:style>
  <w:style w:type="paragraph" w:styleId="Footer">
    <w:name w:val="footer"/>
    <w:basedOn w:val="Normal"/>
    <w:link w:val="FooterChar"/>
    <w:uiPriority w:val="99"/>
    <w:unhideWhenUsed/>
    <w:rsid w:val="00597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61C"/>
  </w:style>
  <w:style w:type="paragraph" w:styleId="FootnoteText">
    <w:name w:val="footnote text"/>
    <w:basedOn w:val="Normal"/>
    <w:link w:val="FootnoteTextChar"/>
    <w:uiPriority w:val="99"/>
    <w:semiHidden/>
    <w:unhideWhenUsed/>
    <w:rsid w:val="00E349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9BC"/>
    <w:rPr>
      <w:sz w:val="20"/>
      <w:szCs w:val="20"/>
    </w:rPr>
  </w:style>
  <w:style w:type="character" w:styleId="FootnoteReference">
    <w:name w:val="footnote reference"/>
    <w:basedOn w:val="DefaultParagraphFont"/>
    <w:uiPriority w:val="99"/>
    <w:semiHidden/>
    <w:unhideWhenUsed/>
    <w:rsid w:val="00E34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82507">
      <w:bodyDiv w:val="1"/>
      <w:marLeft w:val="0"/>
      <w:marRight w:val="0"/>
      <w:marTop w:val="0"/>
      <w:marBottom w:val="0"/>
      <w:divBdr>
        <w:top w:val="none" w:sz="0" w:space="0" w:color="auto"/>
        <w:left w:val="none" w:sz="0" w:space="0" w:color="auto"/>
        <w:bottom w:val="none" w:sz="0" w:space="0" w:color="auto"/>
        <w:right w:val="none" w:sz="0" w:space="0" w:color="auto"/>
      </w:divBdr>
    </w:div>
    <w:div w:id="1370761787">
      <w:bodyDiv w:val="1"/>
      <w:marLeft w:val="0"/>
      <w:marRight w:val="0"/>
      <w:marTop w:val="0"/>
      <w:marBottom w:val="0"/>
      <w:divBdr>
        <w:top w:val="none" w:sz="0" w:space="0" w:color="auto"/>
        <w:left w:val="none" w:sz="0" w:space="0" w:color="auto"/>
        <w:bottom w:val="none" w:sz="0" w:space="0" w:color="auto"/>
        <w:right w:val="none" w:sz="0" w:space="0" w:color="auto"/>
      </w:divBdr>
    </w:div>
    <w:div w:id="1619875694">
      <w:bodyDiv w:val="1"/>
      <w:marLeft w:val="0"/>
      <w:marRight w:val="0"/>
      <w:marTop w:val="0"/>
      <w:marBottom w:val="0"/>
      <w:divBdr>
        <w:top w:val="none" w:sz="0" w:space="0" w:color="auto"/>
        <w:left w:val="none" w:sz="0" w:space="0" w:color="auto"/>
        <w:bottom w:val="none" w:sz="0" w:space="0" w:color="auto"/>
        <w:right w:val="none" w:sz="0" w:space="0" w:color="auto"/>
      </w:divBdr>
    </w:div>
    <w:div w:id="1655916397">
      <w:bodyDiv w:val="1"/>
      <w:marLeft w:val="0"/>
      <w:marRight w:val="0"/>
      <w:marTop w:val="0"/>
      <w:marBottom w:val="0"/>
      <w:divBdr>
        <w:top w:val="none" w:sz="0" w:space="0" w:color="auto"/>
        <w:left w:val="none" w:sz="0" w:space="0" w:color="auto"/>
        <w:bottom w:val="none" w:sz="0" w:space="0" w:color="auto"/>
        <w:right w:val="none" w:sz="0" w:space="0" w:color="auto"/>
      </w:divBdr>
    </w:div>
    <w:div w:id="21259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CEF2A-F92F-428B-A837-217B0D58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Burt</dc:creator>
  <cp:lastModifiedBy>Don Burt</cp:lastModifiedBy>
  <cp:revision>22</cp:revision>
  <dcterms:created xsi:type="dcterms:W3CDTF">2015-04-29T18:02:00Z</dcterms:created>
  <dcterms:modified xsi:type="dcterms:W3CDTF">2015-05-05T15:36:00Z</dcterms:modified>
</cp:coreProperties>
</file>